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67BD" w:rsidRDefault="001E67BD" w:rsidP="0052074A">
      <w:pPr>
        <w:spacing w:before="0" w:after="0" w:line="19" w:lineRule="atLeast"/>
        <w:jc w:val="both"/>
        <w:rPr>
          <w:rFonts w:ascii="Tahoma" w:hAnsi="Tahoma" w:cs="Tahoma"/>
        </w:rPr>
      </w:pPr>
    </w:p>
    <w:p w:rsidR="001E67BD" w:rsidRDefault="001E67BD" w:rsidP="001E67BD">
      <w:pPr>
        <w:pStyle w:val="Prrafodelista"/>
        <w:numPr>
          <w:ilvl w:val="0"/>
          <w:numId w:val="2"/>
        </w:numPr>
        <w:spacing w:before="0" w:after="0" w:line="228" w:lineRule="auto"/>
        <w:rPr>
          <w:rFonts w:ascii="Tahoma" w:hAnsi="Tahoma" w:cs="Tahoma"/>
          <w:b/>
        </w:rPr>
      </w:pPr>
      <w:r w:rsidRPr="00AD4CE9">
        <w:rPr>
          <w:rFonts w:ascii="Tahoma" w:hAnsi="Tahoma" w:cs="Tahoma"/>
          <w:b/>
        </w:rPr>
        <w:t xml:space="preserve">BALANCE GENERAL COMPARATIVO </w:t>
      </w:r>
    </w:p>
    <w:p w:rsidR="001E67BD" w:rsidRPr="009A22BC" w:rsidRDefault="001E67BD" w:rsidP="001E67BD">
      <w:pPr>
        <w:spacing w:before="0" w:after="0" w:line="228" w:lineRule="auto"/>
        <w:rPr>
          <w:rFonts w:ascii="Tahoma" w:hAnsi="Tahoma" w:cs="Tahoma"/>
          <w:b/>
        </w:rPr>
      </w:pPr>
    </w:p>
    <w:tbl>
      <w:tblPr>
        <w:tblW w:w="9175" w:type="dxa"/>
        <w:tblInd w:w="55" w:type="dxa"/>
        <w:tblLayout w:type="fixed"/>
        <w:tblCellMar>
          <w:left w:w="70" w:type="dxa"/>
          <w:right w:w="70" w:type="dxa"/>
        </w:tblCellMar>
        <w:tblLook w:val="04A0" w:firstRow="1" w:lastRow="0" w:firstColumn="1" w:lastColumn="0" w:noHBand="0" w:noVBand="1"/>
      </w:tblPr>
      <w:tblGrid>
        <w:gridCol w:w="3775"/>
        <w:gridCol w:w="1440"/>
        <w:gridCol w:w="1350"/>
        <w:gridCol w:w="1350"/>
        <w:gridCol w:w="1260"/>
      </w:tblGrid>
      <w:tr w:rsidR="003B70A9" w:rsidRPr="00F87226" w:rsidTr="003B70A9">
        <w:trPr>
          <w:trHeight w:val="270"/>
        </w:trPr>
        <w:tc>
          <w:tcPr>
            <w:tcW w:w="3775" w:type="dxa"/>
            <w:tcBorders>
              <w:top w:val="nil"/>
              <w:left w:val="nil"/>
              <w:bottom w:val="nil"/>
              <w:right w:val="nil"/>
            </w:tcBorders>
            <w:shd w:val="clear" w:color="auto" w:fill="auto"/>
            <w:noWrap/>
            <w:vAlign w:val="bottom"/>
          </w:tcPr>
          <w:p w:rsidR="003B70A9" w:rsidRPr="00FF3D5F" w:rsidRDefault="003B70A9" w:rsidP="003B70A9">
            <w:pPr>
              <w:spacing w:before="0" w:after="0"/>
              <w:jc w:val="center"/>
              <w:rPr>
                <w:rFonts w:ascii="Tahoma" w:eastAsia="Times New Roman" w:hAnsi="Tahoma" w:cs="Tahoma"/>
                <w:b/>
                <w:color w:val="auto"/>
                <w:sz w:val="24"/>
                <w:szCs w:val="24"/>
              </w:rPr>
            </w:pPr>
            <w:r w:rsidRPr="00FF3D5F">
              <w:rPr>
                <w:rFonts w:ascii="Tahoma" w:eastAsia="Times New Roman" w:hAnsi="Tahoma" w:cs="Tahoma"/>
                <w:b/>
                <w:color w:val="auto"/>
                <w:sz w:val="24"/>
                <w:szCs w:val="24"/>
              </w:rPr>
              <w:t>UNIVERSIDAD DEL TOLIM</w:t>
            </w:r>
            <w:r w:rsidR="00DA135E" w:rsidRPr="00FF3D5F">
              <w:rPr>
                <w:rFonts w:ascii="Tahoma" w:eastAsia="Times New Roman" w:hAnsi="Tahoma" w:cs="Tahoma"/>
                <w:b/>
                <w:color w:val="auto"/>
                <w:sz w:val="24"/>
                <w:szCs w:val="24"/>
              </w:rPr>
              <w:t>A</w:t>
            </w:r>
          </w:p>
        </w:tc>
        <w:tc>
          <w:tcPr>
            <w:tcW w:w="1440" w:type="dxa"/>
            <w:tcBorders>
              <w:top w:val="nil"/>
              <w:left w:val="nil"/>
              <w:bottom w:val="nil"/>
              <w:right w:val="nil"/>
            </w:tcBorders>
            <w:shd w:val="clear" w:color="auto" w:fill="auto"/>
            <w:noWrap/>
            <w:vAlign w:val="bottom"/>
          </w:tcPr>
          <w:p w:rsidR="003B70A9" w:rsidRPr="00F87226" w:rsidRDefault="003B70A9" w:rsidP="00A012F0">
            <w:pPr>
              <w:spacing w:before="0" w:after="0"/>
              <w:rPr>
                <w:rFonts w:eastAsia="Times New Roman"/>
                <w:color w:val="auto"/>
                <w:sz w:val="18"/>
                <w:szCs w:val="18"/>
              </w:rPr>
            </w:pPr>
          </w:p>
        </w:tc>
        <w:tc>
          <w:tcPr>
            <w:tcW w:w="1350" w:type="dxa"/>
            <w:tcBorders>
              <w:top w:val="nil"/>
              <w:left w:val="nil"/>
              <w:bottom w:val="nil"/>
              <w:right w:val="nil"/>
            </w:tcBorders>
            <w:shd w:val="clear" w:color="auto" w:fill="auto"/>
            <w:noWrap/>
            <w:vAlign w:val="bottom"/>
          </w:tcPr>
          <w:p w:rsidR="003B70A9" w:rsidRPr="00F87226" w:rsidRDefault="003B70A9" w:rsidP="00A012F0">
            <w:pPr>
              <w:spacing w:before="0" w:after="0"/>
              <w:rPr>
                <w:rFonts w:eastAsia="Times New Roman"/>
                <w:color w:val="auto"/>
                <w:sz w:val="18"/>
                <w:szCs w:val="18"/>
              </w:rPr>
            </w:pPr>
          </w:p>
        </w:tc>
        <w:tc>
          <w:tcPr>
            <w:tcW w:w="1350" w:type="dxa"/>
            <w:tcBorders>
              <w:top w:val="nil"/>
              <w:left w:val="nil"/>
              <w:bottom w:val="nil"/>
              <w:right w:val="nil"/>
            </w:tcBorders>
            <w:shd w:val="clear" w:color="auto" w:fill="auto"/>
            <w:noWrap/>
            <w:vAlign w:val="bottom"/>
          </w:tcPr>
          <w:p w:rsidR="003B70A9" w:rsidRPr="00F87226" w:rsidRDefault="003B70A9" w:rsidP="00A012F0">
            <w:pPr>
              <w:spacing w:before="0" w:after="0"/>
              <w:rPr>
                <w:rFonts w:eastAsia="Times New Roman"/>
                <w:color w:val="auto"/>
                <w:sz w:val="18"/>
                <w:szCs w:val="18"/>
              </w:rPr>
            </w:pPr>
          </w:p>
        </w:tc>
        <w:tc>
          <w:tcPr>
            <w:tcW w:w="1260" w:type="dxa"/>
            <w:tcBorders>
              <w:top w:val="nil"/>
              <w:left w:val="nil"/>
              <w:bottom w:val="nil"/>
              <w:right w:val="nil"/>
            </w:tcBorders>
            <w:shd w:val="clear" w:color="auto" w:fill="auto"/>
            <w:noWrap/>
            <w:vAlign w:val="bottom"/>
          </w:tcPr>
          <w:p w:rsidR="003B70A9" w:rsidRPr="00F87226" w:rsidRDefault="003B70A9" w:rsidP="00A012F0">
            <w:pPr>
              <w:spacing w:before="0" w:after="0"/>
              <w:rPr>
                <w:rFonts w:eastAsia="Times New Roman"/>
                <w:color w:val="auto"/>
                <w:sz w:val="18"/>
                <w:szCs w:val="18"/>
              </w:rPr>
            </w:pPr>
          </w:p>
        </w:tc>
      </w:tr>
      <w:tr w:rsidR="003B70A9" w:rsidRPr="00DA135E" w:rsidTr="003B70A9">
        <w:trPr>
          <w:trHeight w:val="270"/>
        </w:trPr>
        <w:tc>
          <w:tcPr>
            <w:tcW w:w="3775" w:type="dxa"/>
            <w:tcBorders>
              <w:top w:val="nil"/>
              <w:left w:val="nil"/>
              <w:bottom w:val="nil"/>
              <w:right w:val="nil"/>
            </w:tcBorders>
            <w:shd w:val="clear" w:color="auto" w:fill="auto"/>
            <w:noWrap/>
            <w:vAlign w:val="bottom"/>
          </w:tcPr>
          <w:p w:rsidR="003B70A9" w:rsidRPr="00FF3D5F" w:rsidRDefault="00DA135E" w:rsidP="00A012F0">
            <w:pPr>
              <w:spacing w:before="0" w:after="0"/>
              <w:rPr>
                <w:rFonts w:ascii="Tahoma" w:eastAsia="Times New Roman" w:hAnsi="Tahoma" w:cs="Tahoma"/>
                <w:b/>
                <w:color w:val="auto"/>
                <w:sz w:val="24"/>
                <w:szCs w:val="24"/>
              </w:rPr>
            </w:pPr>
            <w:r w:rsidRPr="00FF3D5F">
              <w:rPr>
                <w:rFonts w:ascii="Tahoma" w:eastAsia="Times New Roman" w:hAnsi="Tahoma" w:cs="Tahoma"/>
                <w:b/>
                <w:color w:val="auto"/>
                <w:sz w:val="24"/>
                <w:szCs w:val="24"/>
              </w:rPr>
              <w:t>Balance General Comparativo 2015 - 2014</w:t>
            </w:r>
          </w:p>
        </w:tc>
        <w:tc>
          <w:tcPr>
            <w:tcW w:w="1440" w:type="dxa"/>
            <w:tcBorders>
              <w:top w:val="nil"/>
              <w:left w:val="nil"/>
              <w:bottom w:val="nil"/>
              <w:right w:val="nil"/>
            </w:tcBorders>
            <w:shd w:val="clear" w:color="auto" w:fill="auto"/>
            <w:noWrap/>
            <w:vAlign w:val="bottom"/>
          </w:tcPr>
          <w:p w:rsidR="003B70A9" w:rsidRPr="00DA135E" w:rsidRDefault="003B70A9" w:rsidP="00A012F0">
            <w:pPr>
              <w:spacing w:before="0" w:after="0"/>
              <w:rPr>
                <w:rFonts w:ascii="Tahoma" w:eastAsia="Times New Roman" w:hAnsi="Tahoma" w:cs="Tahoma"/>
                <w:color w:val="auto"/>
                <w:sz w:val="24"/>
                <w:szCs w:val="24"/>
              </w:rPr>
            </w:pPr>
          </w:p>
        </w:tc>
        <w:tc>
          <w:tcPr>
            <w:tcW w:w="1350" w:type="dxa"/>
            <w:tcBorders>
              <w:top w:val="nil"/>
              <w:left w:val="nil"/>
              <w:bottom w:val="nil"/>
              <w:right w:val="nil"/>
            </w:tcBorders>
            <w:shd w:val="clear" w:color="auto" w:fill="auto"/>
            <w:noWrap/>
            <w:vAlign w:val="bottom"/>
          </w:tcPr>
          <w:p w:rsidR="003B70A9" w:rsidRPr="00DA135E" w:rsidRDefault="003B70A9" w:rsidP="00A012F0">
            <w:pPr>
              <w:spacing w:before="0" w:after="0"/>
              <w:rPr>
                <w:rFonts w:ascii="Tahoma" w:eastAsia="Times New Roman" w:hAnsi="Tahoma" w:cs="Tahoma"/>
                <w:color w:val="auto"/>
                <w:sz w:val="24"/>
                <w:szCs w:val="24"/>
              </w:rPr>
            </w:pPr>
          </w:p>
        </w:tc>
        <w:tc>
          <w:tcPr>
            <w:tcW w:w="1350" w:type="dxa"/>
            <w:tcBorders>
              <w:top w:val="nil"/>
              <w:left w:val="nil"/>
              <w:bottom w:val="nil"/>
              <w:right w:val="nil"/>
            </w:tcBorders>
            <w:shd w:val="clear" w:color="auto" w:fill="auto"/>
            <w:noWrap/>
            <w:vAlign w:val="bottom"/>
          </w:tcPr>
          <w:p w:rsidR="003B70A9" w:rsidRPr="00DA135E" w:rsidRDefault="003B70A9" w:rsidP="00A012F0">
            <w:pPr>
              <w:spacing w:before="0" w:after="0"/>
              <w:rPr>
                <w:rFonts w:ascii="Tahoma" w:eastAsia="Times New Roman" w:hAnsi="Tahoma" w:cs="Tahoma"/>
                <w:color w:val="auto"/>
                <w:sz w:val="24"/>
                <w:szCs w:val="24"/>
              </w:rPr>
            </w:pPr>
          </w:p>
        </w:tc>
        <w:tc>
          <w:tcPr>
            <w:tcW w:w="1260" w:type="dxa"/>
            <w:tcBorders>
              <w:top w:val="nil"/>
              <w:left w:val="nil"/>
              <w:bottom w:val="nil"/>
              <w:right w:val="nil"/>
            </w:tcBorders>
            <w:shd w:val="clear" w:color="auto" w:fill="auto"/>
            <w:noWrap/>
            <w:vAlign w:val="bottom"/>
          </w:tcPr>
          <w:p w:rsidR="003B70A9" w:rsidRPr="00DA135E" w:rsidRDefault="003B70A9" w:rsidP="00A012F0">
            <w:pPr>
              <w:spacing w:before="0" w:after="0"/>
              <w:rPr>
                <w:rFonts w:ascii="Tahoma" w:eastAsia="Times New Roman" w:hAnsi="Tahoma" w:cs="Tahoma"/>
                <w:color w:val="auto"/>
                <w:sz w:val="24"/>
                <w:szCs w:val="24"/>
              </w:rPr>
            </w:pPr>
          </w:p>
        </w:tc>
      </w:tr>
      <w:tr w:rsidR="003B70A9" w:rsidRPr="00F87226" w:rsidTr="003B70A9">
        <w:trPr>
          <w:trHeight w:val="270"/>
        </w:trPr>
        <w:tc>
          <w:tcPr>
            <w:tcW w:w="3775" w:type="dxa"/>
            <w:tcBorders>
              <w:top w:val="nil"/>
              <w:left w:val="nil"/>
              <w:bottom w:val="nil"/>
              <w:right w:val="nil"/>
            </w:tcBorders>
            <w:shd w:val="clear" w:color="auto" w:fill="auto"/>
            <w:noWrap/>
            <w:vAlign w:val="bottom"/>
            <w:hideMark/>
          </w:tcPr>
          <w:p w:rsidR="003B70A9" w:rsidRPr="00F87226" w:rsidRDefault="003B70A9" w:rsidP="00A012F0">
            <w:pPr>
              <w:spacing w:before="0" w:after="0"/>
              <w:rPr>
                <w:rFonts w:eastAsia="Times New Roman"/>
                <w:color w:val="auto"/>
                <w:sz w:val="18"/>
                <w:szCs w:val="18"/>
              </w:rPr>
            </w:pPr>
          </w:p>
        </w:tc>
        <w:tc>
          <w:tcPr>
            <w:tcW w:w="1440" w:type="dxa"/>
            <w:tcBorders>
              <w:top w:val="nil"/>
              <w:left w:val="nil"/>
              <w:bottom w:val="nil"/>
              <w:right w:val="nil"/>
            </w:tcBorders>
            <w:shd w:val="clear" w:color="auto" w:fill="auto"/>
            <w:noWrap/>
            <w:vAlign w:val="bottom"/>
            <w:hideMark/>
          </w:tcPr>
          <w:p w:rsidR="003B70A9" w:rsidRPr="00F87226" w:rsidRDefault="003B70A9" w:rsidP="00A012F0">
            <w:pPr>
              <w:spacing w:before="0" w:after="0"/>
              <w:rPr>
                <w:rFonts w:eastAsia="Times New Roman"/>
                <w:color w:val="auto"/>
                <w:sz w:val="18"/>
                <w:szCs w:val="18"/>
              </w:rPr>
            </w:pPr>
          </w:p>
        </w:tc>
        <w:tc>
          <w:tcPr>
            <w:tcW w:w="1350" w:type="dxa"/>
            <w:tcBorders>
              <w:top w:val="nil"/>
              <w:left w:val="nil"/>
              <w:bottom w:val="nil"/>
              <w:right w:val="nil"/>
            </w:tcBorders>
            <w:shd w:val="clear" w:color="auto" w:fill="auto"/>
            <w:noWrap/>
            <w:vAlign w:val="bottom"/>
            <w:hideMark/>
          </w:tcPr>
          <w:p w:rsidR="003B70A9" w:rsidRPr="00F87226" w:rsidRDefault="003B70A9" w:rsidP="00A012F0">
            <w:pPr>
              <w:spacing w:before="0" w:after="0"/>
              <w:rPr>
                <w:rFonts w:eastAsia="Times New Roman"/>
                <w:color w:val="auto"/>
                <w:sz w:val="18"/>
                <w:szCs w:val="18"/>
              </w:rPr>
            </w:pPr>
          </w:p>
        </w:tc>
        <w:tc>
          <w:tcPr>
            <w:tcW w:w="1350" w:type="dxa"/>
            <w:tcBorders>
              <w:top w:val="nil"/>
              <w:left w:val="nil"/>
              <w:bottom w:val="nil"/>
              <w:right w:val="nil"/>
            </w:tcBorders>
            <w:shd w:val="clear" w:color="auto" w:fill="auto"/>
            <w:noWrap/>
            <w:vAlign w:val="bottom"/>
            <w:hideMark/>
          </w:tcPr>
          <w:p w:rsidR="003B70A9" w:rsidRPr="00F87226" w:rsidRDefault="003B70A9" w:rsidP="00A012F0">
            <w:pPr>
              <w:spacing w:before="0" w:after="0"/>
              <w:rPr>
                <w:rFonts w:eastAsia="Times New Roman"/>
                <w:color w:val="auto"/>
                <w:sz w:val="18"/>
                <w:szCs w:val="18"/>
              </w:rPr>
            </w:pPr>
          </w:p>
        </w:tc>
        <w:tc>
          <w:tcPr>
            <w:tcW w:w="1260" w:type="dxa"/>
            <w:tcBorders>
              <w:top w:val="nil"/>
              <w:left w:val="nil"/>
              <w:bottom w:val="nil"/>
              <w:right w:val="nil"/>
            </w:tcBorders>
            <w:shd w:val="clear" w:color="auto" w:fill="auto"/>
            <w:noWrap/>
            <w:vAlign w:val="bottom"/>
            <w:hideMark/>
          </w:tcPr>
          <w:p w:rsidR="003B70A9" w:rsidRPr="00F87226" w:rsidRDefault="003B70A9" w:rsidP="00A012F0">
            <w:pPr>
              <w:spacing w:before="0" w:after="0"/>
              <w:rPr>
                <w:rFonts w:eastAsia="Times New Roman"/>
                <w:color w:val="auto"/>
                <w:sz w:val="18"/>
                <w:szCs w:val="18"/>
              </w:rPr>
            </w:pPr>
            <w:r w:rsidRPr="00F87226">
              <w:rPr>
                <w:rFonts w:eastAsia="Times New Roman"/>
                <w:color w:val="auto"/>
                <w:sz w:val="18"/>
                <w:szCs w:val="18"/>
              </w:rPr>
              <w:t>Miles de $</w:t>
            </w:r>
          </w:p>
        </w:tc>
      </w:tr>
      <w:tr w:rsidR="003B70A9" w:rsidRPr="00F87226" w:rsidTr="003B70A9">
        <w:trPr>
          <w:trHeight w:val="495"/>
        </w:trPr>
        <w:tc>
          <w:tcPr>
            <w:tcW w:w="3775" w:type="dxa"/>
            <w:tcBorders>
              <w:top w:val="single" w:sz="8" w:space="0" w:color="000000"/>
              <w:left w:val="single" w:sz="4" w:space="0" w:color="auto"/>
              <w:bottom w:val="single" w:sz="8" w:space="0" w:color="000000"/>
              <w:right w:val="nil"/>
            </w:tcBorders>
            <w:shd w:val="clear" w:color="000000" w:fill="974706"/>
            <w:vAlign w:val="center"/>
            <w:hideMark/>
          </w:tcPr>
          <w:p w:rsidR="003B70A9" w:rsidRPr="00F87226" w:rsidRDefault="003B70A9" w:rsidP="00A012F0">
            <w:pPr>
              <w:spacing w:before="0" w:after="0"/>
              <w:jc w:val="center"/>
              <w:rPr>
                <w:rFonts w:eastAsia="Times New Roman"/>
                <w:b/>
                <w:bCs/>
                <w:color w:val="FFFFFF"/>
                <w:sz w:val="18"/>
                <w:szCs w:val="18"/>
              </w:rPr>
            </w:pPr>
            <w:r w:rsidRPr="00F87226">
              <w:rPr>
                <w:rFonts w:eastAsia="Times New Roman"/>
                <w:b/>
                <w:bCs/>
                <w:color w:val="FFFFFF"/>
                <w:sz w:val="18"/>
                <w:szCs w:val="18"/>
              </w:rPr>
              <w:t>NOMBRE</w:t>
            </w:r>
          </w:p>
        </w:tc>
        <w:tc>
          <w:tcPr>
            <w:tcW w:w="1440" w:type="dxa"/>
            <w:tcBorders>
              <w:top w:val="single" w:sz="8" w:space="0" w:color="auto"/>
              <w:left w:val="single" w:sz="8" w:space="0" w:color="auto"/>
              <w:bottom w:val="single" w:sz="8" w:space="0" w:color="auto"/>
              <w:right w:val="single" w:sz="8" w:space="0" w:color="000000"/>
            </w:tcBorders>
            <w:shd w:val="clear" w:color="000000" w:fill="974706"/>
            <w:vAlign w:val="center"/>
            <w:hideMark/>
          </w:tcPr>
          <w:p w:rsidR="003B70A9" w:rsidRPr="00F87226" w:rsidRDefault="003B70A9" w:rsidP="00A012F0">
            <w:pPr>
              <w:spacing w:before="0" w:after="0"/>
              <w:jc w:val="center"/>
              <w:rPr>
                <w:rFonts w:eastAsia="Times New Roman"/>
                <w:b/>
                <w:bCs/>
                <w:color w:val="FFFFFF"/>
                <w:sz w:val="18"/>
                <w:szCs w:val="18"/>
              </w:rPr>
            </w:pPr>
            <w:r w:rsidRPr="00F87226">
              <w:rPr>
                <w:rFonts w:eastAsia="Times New Roman"/>
                <w:b/>
                <w:bCs/>
                <w:color w:val="FFFFFF"/>
                <w:sz w:val="18"/>
                <w:szCs w:val="18"/>
              </w:rPr>
              <w:t>SALDO FINAL DIC - 2015</w:t>
            </w:r>
          </w:p>
        </w:tc>
        <w:tc>
          <w:tcPr>
            <w:tcW w:w="1350" w:type="dxa"/>
            <w:tcBorders>
              <w:top w:val="single" w:sz="8" w:space="0" w:color="auto"/>
              <w:left w:val="nil"/>
              <w:bottom w:val="single" w:sz="8" w:space="0" w:color="auto"/>
              <w:right w:val="single" w:sz="8" w:space="0" w:color="000000"/>
            </w:tcBorders>
            <w:shd w:val="clear" w:color="000000" w:fill="974706"/>
            <w:vAlign w:val="center"/>
            <w:hideMark/>
          </w:tcPr>
          <w:p w:rsidR="003B70A9" w:rsidRPr="00F87226" w:rsidRDefault="003B70A9" w:rsidP="00A012F0">
            <w:pPr>
              <w:spacing w:before="0" w:after="0"/>
              <w:jc w:val="center"/>
              <w:rPr>
                <w:rFonts w:eastAsia="Times New Roman"/>
                <w:b/>
                <w:bCs/>
                <w:color w:val="FFFFFF"/>
                <w:sz w:val="18"/>
                <w:szCs w:val="18"/>
              </w:rPr>
            </w:pPr>
            <w:r w:rsidRPr="00F87226">
              <w:rPr>
                <w:rFonts w:eastAsia="Times New Roman"/>
                <w:b/>
                <w:bCs/>
                <w:color w:val="FFFFFF"/>
                <w:sz w:val="18"/>
                <w:szCs w:val="18"/>
              </w:rPr>
              <w:t>SALDO FINAL DIC-2014</w:t>
            </w:r>
          </w:p>
        </w:tc>
        <w:tc>
          <w:tcPr>
            <w:tcW w:w="1350" w:type="dxa"/>
            <w:tcBorders>
              <w:top w:val="single" w:sz="8" w:space="0" w:color="auto"/>
              <w:left w:val="nil"/>
              <w:bottom w:val="single" w:sz="8" w:space="0" w:color="auto"/>
              <w:right w:val="single" w:sz="8" w:space="0" w:color="000000"/>
            </w:tcBorders>
            <w:shd w:val="clear" w:color="000000" w:fill="974706"/>
            <w:vAlign w:val="center"/>
            <w:hideMark/>
          </w:tcPr>
          <w:p w:rsidR="003B70A9" w:rsidRPr="00F87226" w:rsidRDefault="003B70A9" w:rsidP="00A012F0">
            <w:pPr>
              <w:spacing w:before="0" w:after="0"/>
              <w:jc w:val="center"/>
              <w:rPr>
                <w:rFonts w:eastAsia="Times New Roman"/>
                <w:b/>
                <w:bCs/>
                <w:color w:val="FFFFFF"/>
                <w:sz w:val="18"/>
                <w:szCs w:val="18"/>
              </w:rPr>
            </w:pPr>
            <w:r w:rsidRPr="00F87226">
              <w:rPr>
                <w:rFonts w:eastAsia="Times New Roman"/>
                <w:b/>
                <w:bCs/>
                <w:color w:val="FFFFFF"/>
                <w:sz w:val="18"/>
                <w:szCs w:val="18"/>
              </w:rPr>
              <w:t>VARIACION ABSOLUTA</w:t>
            </w:r>
          </w:p>
        </w:tc>
        <w:tc>
          <w:tcPr>
            <w:tcW w:w="1260" w:type="dxa"/>
            <w:tcBorders>
              <w:top w:val="single" w:sz="8" w:space="0" w:color="auto"/>
              <w:left w:val="nil"/>
              <w:bottom w:val="single" w:sz="8" w:space="0" w:color="auto"/>
              <w:right w:val="single" w:sz="8" w:space="0" w:color="auto"/>
            </w:tcBorders>
            <w:shd w:val="clear" w:color="000000" w:fill="974706"/>
            <w:vAlign w:val="center"/>
            <w:hideMark/>
          </w:tcPr>
          <w:p w:rsidR="003B70A9" w:rsidRPr="00F87226" w:rsidRDefault="003B70A9" w:rsidP="00A012F0">
            <w:pPr>
              <w:spacing w:before="0" w:after="0"/>
              <w:jc w:val="center"/>
              <w:rPr>
                <w:rFonts w:eastAsia="Times New Roman"/>
                <w:b/>
                <w:bCs/>
                <w:color w:val="FFFFFF"/>
                <w:sz w:val="18"/>
                <w:szCs w:val="18"/>
              </w:rPr>
            </w:pPr>
            <w:r w:rsidRPr="00F87226">
              <w:rPr>
                <w:rFonts w:eastAsia="Times New Roman"/>
                <w:b/>
                <w:bCs/>
                <w:color w:val="FFFFFF"/>
                <w:sz w:val="18"/>
                <w:szCs w:val="18"/>
              </w:rPr>
              <w:t>VARIACION RELATIVA</w:t>
            </w:r>
          </w:p>
        </w:tc>
      </w:tr>
      <w:tr w:rsidR="003B70A9" w:rsidRPr="00F87226" w:rsidTr="003B70A9">
        <w:trPr>
          <w:trHeight w:val="255"/>
        </w:trPr>
        <w:tc>
          <w:tcPr>
            <w:tcW w:w="3775" w:type="dxa"/>
            <w:tcBorders>
              <w:top w:val="single" w:sz="4" w:space="0" w:color="000000"/>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ACTIVOS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373,801,810</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318,793,747</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55,008,063</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17.26%</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EFECTIVO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57,101,388</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56,368,977</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732,411</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1.30%</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DEPÓSITOS EN INSTITUCIONES FINANCIERAS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57,101,388</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56,368,977</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732,411</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1.30%</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INVERSIONES E INSTRUMENTOS DERIVADOS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646,015</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2,802,263</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-2,156,248</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-76.95%</w:t>
            </w:r>
          </w:p>
        </w:tc>
      </w:tr>
      <w:tr w:rsidR="003B70A9" w:rsidRPr="00F87226" w:rsidTr="003B70A9">
        <w:trPr>
          <w:trHeight w:val="480"/>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INVERSIONES ADMINISTRACIÓN DE LIQUIDEZ EN TÍTULOS PARTICIPATIVOS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508,925</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2,665,173</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-2,156,248</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-80.90%</w:t>
            </w:r>
          </w:p>
        </w:tc>
      </w:tr>
      <w:tr w:rsidR="003B70A9" w:rsidRPr="00F87226" w:rsidTr="003B70A9">
        <w:trPr>
          <w:trHeight w:val="480"/>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INVERSIONES PATRIMONIALES EN ENTIDADES NO CONTROLADAS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159,910</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159,910</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0</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0.00%</w:t>
            </w:r>
          </w:p>
        </w:tc>
      </w:tr>
      <w:tr w:rsidR="003B70A9" w:rsidRPr="00F87226" w:rsidTr="003B70A9">
        <w:trPr>
          <w:trHeight w:val="480"/>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PROVISIÓN PARA PROTECCIÓN DE INVERSIONES (CR)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-22,820</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-22,820</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0</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0.00%</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DEUDORES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9,075,691</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9,172,036</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-96,345</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-1.05%</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VENTA DE BIENES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7,597</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8,298</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-701</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-8.45%</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PRESTACIÓN DE SERVICIOS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86,956</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86,956</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0</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0.00%</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TRANSFERENCIAS POR COBRAR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5,616,702</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5,543,928</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72,774</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1.31%</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AVANCES Y ANTICIPOS ENTREGADOS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1,799,417</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2,596,223</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-796,806</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-30.69%</w:t>
            </w:r>
          </w:p>
        </w:tc>
      </w:tr>
      <w:tr w:rsidR="003B70A9" w:rsidRPr="00F87226" w:rsidTr="003B70A9">
        <w:trPr>
          <w:trHeight w:val="480"/>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ANTICIPOS O SALDOS A FAVOR POR IMPUESTOS Y CONTRIBUCIONES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841,446</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873,909</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-32,463</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-3.71%</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DEPÓSITOS ENTREGADOS EN GARANTÍA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7,700</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7,700</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0</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0.00%</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OTROS DEUDORES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801,829</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140,978</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660,851</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468.76%</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PROVISIÓN PARA DEUDORES (CR)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-85,956</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-85,956</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0</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0.00%</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INVENTARIOS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64,344</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140,511</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-76,167</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-54.21%</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BIENES PRODUCIDOS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1,147</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1,564</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-417</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-26.66%</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MERCANCÍAS EN EXISTENCIA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63,268</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139,018</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-75,750</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-54.49%</w:t>
            </w:r>
          </w:p>
        </w:tc>
      </w:tr>
      <w:tr w:rsidR="003B70A9" w:rsidRPr="00F87226" w:rsidTr="003B70A9">
        <w:trPr>
          <w:trHeight w:val="480"/>
        </w:trPr>
        <w:tc>
          <w:tcPr>
            <w:tcW w:w="3775" w:type="dxa"/>
            <w:tcBorders>
              <w:top w:val="nil"/>
              <w:left w:val="single" w:sz="4" w:space="0" w:color="auto"/>
              <w:bottom w:val="single" w:sz="4" w:space="0" w:color="000000"/>
              <w:right w:val="single" w:sz="4" w:space="0" w:color="000000"/>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PROVISIÓN PARA PROTECCIÓN DE INVENTARIOS (CR) </w:t>
            </w:r>
          </w:p>
        </w:tc>
        <w:tc>
          <w:tcPr>
            <w:tcW w:w="144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-71</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-71</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0</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0.00%</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PROPIEDADES, PLANTA Y EQUIPO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162,488,052</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154,075,530</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8,412,522</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5.46%</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TERRENOS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124,954,250</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122,885,167</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2,069,083</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1.68%</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SEMOVIENTES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116,953</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129,529</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-12,576</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-9.71%</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CONSTRUCCIONES EN CURSO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2,475,027</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2,055,725</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419,302</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20.40%</w:t>
            </w:r>
          </w:p>
        </w:tc>
      </w:tr>
      <w:tr w:rsidR="003B70A9" w:rsidRPr="00F87226" w:rsidTr="003B70A9">
        <w:trPr>
          <w:trHeight w:val="480"/>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lastRenderedPageBreak/>
              <w:t xml:space="preserve">PROPIEDADES, PLANTA Y EQUIPO EN TRÁNSITO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78,870</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111,074</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-32,204</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-28.99%</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BIENES MUEBLES EN BODEGA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684,559</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917,461</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-232,902</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-25.39%</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EDIFICACIONES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28,113,655</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25,310,654</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2,803,001</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11.07%</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PLANTAS, DUCTOS Y TÚNELES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630,118</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630,118</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0</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0.00%</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REDES, LÍNEAS Y CABLES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2,197,622</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1,210,872</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986,750</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81.49%</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MAQUINARIA Y EQUIPO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888,589</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828,861</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59,728</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7.21%</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EQUIPO MÉDICO Y CIENTÍFICO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8,721,510</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5,953,352</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2,768,158</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46.50%</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MUEBLES, ENSERES Y EQUIPO DE OFICINA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1,954,253</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1,584,858</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369,395</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23.31%</w:t>
            </w:r>
          </w:p>
        </w:tc>
      </w:tr>
      <w:tr w:rsidR="003B70A9" w:rsidRPr="00F87226" w:rsidTr="003B70A9">
        <w:trPr>
          <w:trHeight w:val="480"/>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EQUIPOS DE COMUNICACIÓN Y COMPUTACIÓN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9,010,601</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8,147,376</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863,225</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10.60%</w:t>
            </w:r>
          </w:p>
        </w:tc>
      </w:tr>
      <w:tr w:rsidR="003B70A9" w:rsidRPr="00F87226" w:rsidTr="003B70A9">
        <w:trPr>
          <w:trHeight w:val="480"/>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EQUIPOS DE TRANSPORTE, TRACCIÓN Y ELEVACIÓN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2,111,611</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2,101,913</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9,698</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0.46%</w:t>
            </w:r>
          </w:p>
        </w:tc>
      </w:tr>
      <w:tr w:rsidR="003B70A9" w:rsidRPr="00F87226" w:rsidTr="003B70A9">
        <w:trPr>
          <w:trHeight w:val="480"/>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EQUIPOS DE COMEDOR, COCINA, DESPENSA Y HOTELERÍA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298,910</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293,213</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5,697</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1.94%</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DEPRECIACIÓN ACUMULADA (CR)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-15,483,448</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-13,946,629</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-1,536,819</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11.02%</w:t>
            </w:r>
          </w:p>
        </w:tc>
      </w:tr>
      <w:tr w:rsidR="003B70A9" w:rsidRPr="00F87226" w:rsidTr="003B70A9">
        <w:trPr>
          <w:trHeight w:val="480"/>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PROVISIONES PARA PROTECCIÓN DE PROPIEDADES, PLANTA Y EQUIPO (CR)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-4,265,028</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-4,138,014</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-127,014</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3.07%</w:t>
            </w:r>
          </w:p>
        </w:tc>
      </w:tr>
      <w:tr w:rsidR="003B70A9" w:rsidRPr="00F87226" w:rsidTr="003B70A9">
        <w:trPr>
          <w:trHeight w:val="480"/>
        </w:trPr>
        <w:tc>
          <w:tcPr>
            <w:tcW w:w="3775" w:type="dxa"/>
            <w:tcBorders>
              <w:top w:val="nil"/>
              <w:left w:val="single" w:sz="4" w:space="0" w:color="auto"/>
              <w:bottom w:val="single" w:sz="4" w:space="0" w:color="000000"/>
              <w:right w:val="single" w:sz="4" w:space="0" w:color="000000"/>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BIENES DE USO PÚBLICO E HISTÓRICOS Y CULTURALES </w:t>
            </w:r>
          </w:p>
        </w:tc>
        <w:tc>
          <w:tcPr>
            <w:tcW w:w="144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599,500</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599,500</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0</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0.00%</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BIENES HISTÓRICOS Y CULTURALES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599,500</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599,500</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0</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0.00%</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OTROS ACTIVOS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143,826,820</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95,634,930</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48,191,890</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50.39%</w:t>
            </w:r>
          </w:p>
        </w:tc>
      </w:tr>
      <w:tr w:rsidR="003B70A9" w:rsidRPr="00F87226" w:rsidTr="003B70A9">
        <w:trPr>
          <w:trHeight w:val="480"/>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BIENES Y SERVICIOS PAGADOS POR ANTICIPADO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516,476</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517,823</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-1,347</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-0.26%</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CARGOS DIFERIDOS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2,577</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85,664</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-83,087</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-96.99%</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BIENES DE ARTE Y CULTURA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185,825</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163,263</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22,562</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13.82%</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INTANGIBLES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467,286</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379,919</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87,367</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23.00%</w:t>
            </w:r>
          </w:p>
        </w:tc>
      </w:tr>
      <w:tr w:rsidR="003B70A9" w:rsidRPr="00F87226" w:rsidTr="003B70A9">
        <w:trPr>
          <w:trHeight w:val="480"/>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AMORTIZACIÓN ACUMULADA DE INTANGIBLES (CR)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-257,327</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-215,343</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-41,984</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19.50%</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VALORIZACIONES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142,911,983</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94,703,604</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48,208,379</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50.90%</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PASIVOS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83,026,210</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47,455,753</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35,570,457</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74.95%</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CUENTAS POR PAGAR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38,603,094</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39,468,650</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-865,556</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-2.19%</w:t>
            </w:r>
          </w:p>
        </w:tc>
      </w:tr>
      <w:tr w:rsidR="003B70A9" w:rsidRPr="00F87226" w:rsidTr="003B70A9">
        <w:trPr>
          <w:trHeight w:val="480"/>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ADQUISICIÓN DE BIENES Y SERVICIOS NACIONALES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3,377,349</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3,119,799</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257,550</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8.26%</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ACREEDORES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6,358,220</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4,742,874</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1,615,346</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34.06%</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SUBSIDIOS ASIGNADOS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84,218</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47,573</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36,645</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77.03%</w:t>
            </w:r>
          </w:p>
        </w:tc>
      </w:tr>
      <w:tr w:rsidR="003B70A9" w:rsidRPr="00F87226" w:rsidTr="003B70A9">
        <w:trPr>
          <w:trHeight w:val="480"/>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RETENCIÓN EN LA FUENTE E IMPUESTO DE TIMBRE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269,395</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273,537</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-4,142</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-1.51%</w:t>
            </w:r>
          </w:p>
        </w:tc>
      </w:tr>
      <w:tr w:rsidR="003B70A9" w:rsidRPr="00F87226" w:rsidTr="003B70A9">
        <w:trPr>
          <w:trHeight w:val="480"/>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IMPUESTOS, CONTRIBUCIONES Y TASAS POR PAGAR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413</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361</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52</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14.40%</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RECURSOS RECIBIDOS EN ADMINISTRACIÓN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28,513,499</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31,284,506</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-2,771,007</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-8.86%</w:t>
            </w:r>
          </w:p>
        </w:tc>
      </w:tr>
      <w:tr w:rsidR="003B70A9" w:rsidRPr="00F87226" w:rsidTr="003B70A9">
        <w:trPr>
          <w:trHeight w:val="480"/>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lastRenderedPageBreak/>
              <w:t xml:space="preserve">OBLIGACIONES LABORALES Y DE SEGURIDAD SOCIAL INTEGRAL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11,797,176</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3,394,246</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8,402,930</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247.56%</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SALARIOS Y PRESTACIONES SOCIALES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11,797,176</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3,394,246</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8,402,930</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247.56%</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PASIVOS ESTIMADOS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574,000</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598,000</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-24,000</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-4.01%</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PROVISIÓN PARA CONTINGENCIAS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574,000</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598,000</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-24,000</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-4.01%</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OTROS PASIVOS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32,051,940</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3,994,857</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28,057,083</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702.33%</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RECAUDOS A FAVOR DE TERCEROS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535,513</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0</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535,513</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100.00%</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INGRESOS RECIBIDOS POR ANTICIPADO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31,516,427</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1,205,116</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30,311,311</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2515.22%</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PATRIMONIO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290,775,600</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271,337,994</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19,437,606</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7.16%</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PATRIMONIO INSTITUCIONAL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290,775,600</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271,337,994</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19,437,606</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7.16%</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CAPITAL FISCAL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41,252,570</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56,375,010</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-15,122,440</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-26.82%</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RESULTADOS DEL EJERCICIO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-18,933,136</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-1,951,428</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-16,981,708</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870.22%</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SUPERÁVIT POR DONACIÓN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124,546,627</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121,819,014</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2,727,613</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2.24%</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SUPERÁVIT POR FORMACIÓN DE INTANGIBLES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99,447</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99,447</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0</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0.00%</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SUPERÁVIT POR VALORIZACIÓN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142,911,983</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94,703,604</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48,208,379</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50.90%</w:t>
            </w:r>
          </w:p>
        </w:tc>
      </w:tr>
      <w:tr w:rsidR="003B70A9" w:rsidRPr="00F87226" w:rsidTr="003B70A9">
        <w:trPr>
          <w:trHeight w:val="255"/>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PATRIMONIO INSTITUCIONAL INCORPORADO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3,768,506</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3,532,311</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236,195</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6.69%</w:t>
            </w:r>
          </w:p>
        </w:tc>
      </w:tr>
      <w:tr w:rsidR="003B70A9" w:rsidRPr="00F87226" w:rsidTr="003B70A9">
        <w:trPr>
          <w:trHeight w:val="480"/>
        </w:trPr>
        <w:tc>
          <w:tcPr>
            <w:tcW w:w="3775" w:type="dxa"/>
            <w:tcBorders>
              <w:top w:val="nil"/>
              <w:left w:val="single" w:sz="4" w:space="0" w:color="auto"/>
              <w:bottom w:val="single" w:sz="4" w:space="0" w:color="000000"/>
              <w:right w:val="nil"/>
            </w:tcBorders>
            <w:shd w:val="clear" w:color="auto" w:fill="auto"/>
            <w:vAlign w:val="center"/>
            <w:hideMark/>
          </w:tcPr>
          <w:p w:rsidR="003B70A9" w:rsidRPr="003B70A9" w:rsidRDefault="003B70A9"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PROVISIONES, DEPRECIACIONES Y AMORTIZACIONES (DB)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-2,870,397</w:t>
            </w:r>
          </w:p>
        </w:tc>
        <w:tc>
          <w:tcPr>
            <w:tcW w:w="1350" w:type="dxa"/>
            <w:tcBorders>
              <w:top w:val="nil"/>
              <w:left w:val="nil"/>
              <w:bottom w:val="single" w:sz="4" w:space="0" w:color="auto"/>
              <w:right w:val="single" w:sz="4" w:space="0" w:color="auto"/>
            </w:tcBorders>
            <w:shd w:val="clear" w:color="auto" w:fill="auto"/>
            <w:vAlign w:val="center"/>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-3,239,964</w:t>
            </w:r>
          </w:p>
        </w:tc>
        <w:tc>
          <w:tcPr>
            <w:tcW w:w="135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369,567</w:t>
            </w:r>
          </w:p>
        </w:tc>
        <w:tc>
          <w:tcPr>
            <w:tcW w:w="1260" w:type="dxa"/>
            <w:tcBorders>
              <w:top w:val="nil"/>
              <w:left w:val="nil"/>
              <w:bottom w:val="single" w:sz="4" w:space="0" w:color="auto"/>
              <w:right w:val="single" w:sz="4" w:space="0" w:color="auto"/>
            </w:tcBorders>
            <w:shd w:val="clear" w:color="auto" w:fill="auto"/>
            <w:noWrap/>
            <w:vAlign w:val="bottom"/>
            <w:hideMark/>
          </w:tcPr>
          <w:p w:rsidR="003B70A9" w:rsidRPr="003B70A9" w:rsidRDefault="003B70A9"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-11.41%</w:t>
            </w:r>
          </w:p>
        </w:tc>
      </w:tr>
    </w:tbl>
    <w:p w:rsidR="001E67BD" w:rsidRDefault="001E67BD" w:rsidP="001E67BD">
      <w:pPr>
        <w:pStyle w:val="Prrafodelista"/>
        <w:spacing w:before="0" w:after="0" w:line="228" w:lineRule="auto"/>
        <w:rPr>
          <w:rFonts w:ascii="Tahoma" w:hAnsi="Tahoma" w:cs="Tahoma"/>
          <w:b/>
        </w:rPr>
      </w:pPr>
    </w:p>
    <w:p w:rsidR="001E67BD" w:rsidRDefault="001E67BD" w:rsidP="001E67BD">
      <w:pPr>
        <w:pStyle w:val="Prrafodelista"/>
        <w:spacing w:before="0" w:after="0" w:line="228" w:lineRule="auto"/>
        <w:rPr>
          <w:rFonts w:ascii="Tahoma" w:hAnsi="Tahoma" w:cs="Tahoma"/>
          <w:b/>
        </w:rPr>
      </w:pPr>
    </w:p>
    <w:p w:rsidR="001E67BD" w:rsidRPr="00C967D9" w:rsidRDefault="001E67BD" w:rsidP="001E67BD">
      <w:pPr>
        <w:spacing w:before="0" w:after="0" w:line="226" w:lineRule="auto"/>
        <w:jc w:val="both"/>
        <w:rPr>
          <w:rFonts w:ascii="Tahoma" w:hAnsi="Tahoma" w:cs="Tahoma"/>
        </w:rPr>
      </w:pPr>
      <w:r w:rsidRPr="00C967D9">
        <w:rPr>
          <w:rFonts w:ascii="Tahoma" w:hAnsi="Tahoma" w:cs="Tahoma"/>
        </w:rPr>
        <w:t>Para la vigencia fiscal 201</w:t>
      </w:r>
      <w:r>
        <w:rPr>
          <w:rFonts w:ascii="Tahoma" w:hAnsi="Tahoma" w:cs="Tahoma"/>
        </w:rPr>
        <w:t>5</w:t>
      </w:r>
      <w:r w:rsidRPr="00C967D9">
        <w:rPr>
          <w:rFonts w:ascii="Tahoma" w:hAnsi="Tahoma" w:cs="Tahoma"/>
        </w:rPr>
        <w:t xml:space="preserve">, la Universidad del Tolima </w:t>
      </w:r>
      <w:r>
        <w:rPr>
          <w:rFonts w:ascii="Tahoma" w:hAnsi="Tahoma" w:cs="Tahoma"/>
        </w:rPr>
        <w:t>refleja</w:t>
      </w:r>
      <w:r w:rsidRPr="00C967D9">
        <w:rPr>
          <w:rFonts w:ascii="Tahoma" w:hAnsi="Tahoma" w:cs="Tahoma"/>
        </w:rPr>
        <w:t xml:space="preserve"> un aumento en sus activos del </w:t>
      </w:r>
      <w:r>
        <w:rPr>
          <w:rFonts w:ascii="Tahoma" w:hAnsi="Tahoma" w:cs="Tahoma"/>
        </w:rPr>
        <w:t>17.26</w:t>
      </w:r>
      <w:r w:rsidRPr="00C967D9">
        <w:rPr>
          <w:rFonts w:ascii="Tahoma" w:hAnsi="Tahoma" w:cs="Tahoma"/>
        </w:rPr>
        <w:t xml:space="preserve">%, en sus pasivos </w:t>
      </w:r>
      <w:r>
        <w:rPr>
          <w:rFonts w:ascii="Tahoma" w:hAnsi="Tahoma" w:cs="Tahoma"/>
        </w:rPr>
        <w:t>una incremento del</w:t>
      </w:r>
      <w:r w:rsidRPr="00C967D9">
        <w:rPr>
          <w:rFonts w:ascii="Tahoma" w:hAnsi="Tahoma" w:cs="Tahoma"/>
        </w:rPr>
        <w:t xml:space="preserve"> </w:t>
      </w:r>
      <w:r>
        <w:rPr>
          <w:rFonts w:ascii="Tahoma" w:hAnsi="Tahoma" w:cs="Tahoma"/>
        </w:rPr>
        <w:t>74</w:t>
      </w:r>
      <w:r w:rsidRPr="00C967D9">
        <w:rPr>
          <w:rFonts w:ascii="Tahoma" w:hAnsi="Tahoma" w:cs="Tahoma"/>
        </w:rPr>
        <w:t>.9</w:t>
      </w:r>
      <w:r>
        <w:rPr>
          <w:rFonts w:ascii="Tahoma" w:hAnsi="Tahoma" w:cs="Tahoma"/>
        </w:rPr>
        <w:t>5</w:t>
      </w:r>
      <w:r w:rsidRPr="00C967D9">
        <w:rPr>
          <w:rFonts w:ascii="Tahoma" w:hAnsi="Tahoma" w:cs="Tahoma"/>
        </w:rPr>
        <w:t xml:space="preserve">% y en el patrimonio una </w:t>
      </w:r>
      <w:r>
        <w:rPr>
          <w:rFonts w:ascii="Tahoma" w:hAnsi="Tahoma" w:cs="Tahoma"/>
        </w:rPr>
        <w:t>un alza</w:t>
      </w:r>
      <w:r w:rsidRPr="00C967D9">
        <w:rPr>
          <w:rFonts w:ascii="Tahoma" w:hAnsi="Tahoma" w:cs="Tahoma"/>
        </w:rPr>
        <w:t xml:space="preserve"> del </w:t>
      </w:r>
      <w:r>
        <w:rPr>
          <w:rFonts w:ascii="Tahoma" w:hAnsi="Tahoma" w:cs="Tahoma"/>
        </w:rPr>
        <w:t>7</w:t>
      </w:r>
      <w:r w:rsidRPr="00C967D9">
        <w:rPr>
          <w:rFonts w:ascii="Tahoma" w:hAnsi="Tahoma" w:cs="Tahoma"/>
        </w:rPr>
        <w:t>.</w:t>
      </w:r>
      <w:r>
        <w:rPr>
          <w:rFonts w:ascii="Tahoma" w:hAnsi="Tahoma" w:cs="Tahoma"/>
        </w:rPr>
        <w:t>16</w:t>
      </w:r>
      <w:r w:rsidRPr="00C967D9">
        <w:rPr>
          <w:rFonts w:ascii="Tahoma" w:hAnsi="Tahoma" w:cs="Tahoma"/>
        </w:rPr>
        <w:t>%</w:t>
      </w:r>
      <w:r>
        <w:rPr>
          <w:rFonts w:ascii="Tahoma" w:hAnsi="Tahoma" w:cs="Tahoma"/>
        </w:rPr>
        <w:t>, comparado con las cifras del año 2014</w:t>
      </w:r>
      <w:r w:rsidRPr="00C967D9">
        <w:rPr>
          <w:rFonts w:ascii="Tahoma" w:hAnsi="Tahoma" w:cs="Tahoma"/>
        </w:rPr>
        <w:t>.</w:t>
      </w:r>
    </w:p>
    <w:p w:rsidR="001E67BD" w:rsidRPr="00C967D9" w:rsidRDefault="001E67BD" w:rsidP="001E67BD">
      <w:pPr>
        <w:spacing w:before="0" w:after="0" w:line="226" w:lineRule="auto"/>
        <w:rPr>
          <w:rFonts w:ascii="Tahoma" w:hAnsi="Tahoma" w:cs="Tahoma"/>
          <w:sz w:val="18"/>
        </w:rPr>
      </w:pPr>
    </w:p>
    <w:p w:rsidR="001E67BD" w:rsidRPr="00C967D9" w:rsidRDefault="001E67BD" w:rsidP="001E67BD">
      <w:pPr>
        <w:spacing w:before="0" w:after="0" w:line="226" w:lineRule="auto"/>
        <w:jc w:val="both"/>
        <w:rPr>
          <w:rFonts w:ascii="Tahoma" w:hAnsi="Tahoma" w:cs="Tahoma"/>
        </w:rPr>
      </w:pPr>
      <w:r w:rsidRPr="00C967D9">
        <w:rPr>
          <w:rFonts w:ascii="Tahoma" w:hAnsi="Tahoma" w:cs="Tahoma"/>
        </w:rPr>
        <w:t xml:space="preserve">Dentro de los activos la cuenta de Depósitos en Instituciones Financieras refleja una </w:t>
      </w:r>
      <w:r>
        <w:rPr>
          <w:rFonts w:ascii="Tahoma" w:hAnsi="Tahoma" w:cs="Tahoma"/>
        </w:rPr>
        <w:t>incremento de tan solo el 1.30%</w:t>
      </w:r>
      <w:r w:rsidRPr="00C967D9">
        <w:rPr>
          <w:rFonts w:ascii="Tahoma" w:hAnsi="Tahoma" w:cs="Tahoma"/>
        </w:rPr>
        <w:t xml:space="preserve"> al pasar de un saldo en el 2013 de $</w:t>
      </w:r>
      <w:r>
        <w:rPr>
          <w:rFonts w:ascii="Tahoma" w:hAnsi="Tahoma" w:cs="Tahoma"/>
        </w:rPr>
        <w:t>56</w:t>
      </w:r>
      <w:r w:rsidRPr="00C967D9">
        <w:rPr>
          <w:rFonts w:ascii="Tahoma" w:hAnsi="Tahoma" w:cs="Tahoma"/>
        </w:rPr>
        <w:t>.</w:t>
      </w:r>
      <w:r>
        <w:rPr>
          <w:rFonts w:ascii="Tahoma" w:hAnsi="Tahoma" w:cs="Tahoma"/>
        </w:rPr>
        <w:t>368</w:t>
      </w:r>
      <w:r w:rsidRPr="00C967D9">
        <w:rPr>
          <w:rFonts w:ascii="Tahoma" w:hAnsi="Tahoma" w:cs="Tahoma"/>
        </w:rPr>
        <w:t>.</w:t>
      </w:r>
      <w:r>
        <w:rPr>
          <w:rFonts w:ascii="Tahoma" w:hAnsi="Tahoma" w:cs="Tahoma"/>
        </w:rPr>
        <w:t>977</w:t>
      </w:r>
      <w:r w:rsidRPr="00C967D9">
        <w:rPr>
          <w:rFonts w:ascii="Tahoma" w:hAnsi="Tahoma" w:cs="Tahoma"/>
        </w:rPr>
        <w:t xml:space="preserve"> (miles de $) a un valor de $5</w:t>
      </w:r>
      <w:r>
        <w:rPr>
          <w:rFonts w:ascii="Tahoma" w:hAnsi="Tahoma" w:cs="Tahoma"/>
        </w:rPr>
        <w:t>7</w:t>
      </w:r>
      <w:r w:rsidRPr="00C967D9">
        <w:rPr>
          <w:rFonts w:ascii="Tahoma" w:hAnsi="Tahoma" w:cs="Tahoma"/>
        </w:rPr>
        <w:t>.</w:t>
      </w:r>
      <w:r>
        <w:rPr>
          <w:rFonts w:ascii="Tahoma" w:hAnsi="Tahoma" w:cs="Tahoma"/>
        </w:rPr>
        <w:t>101</w:t>
      </w:r>
      <w:r w:rsidRPr="00C967D9">
        <w:rPr>
          <w:rFonts w:ascii="Tahoma" w:hAnsi="Tahoma" w:cs="Tahoma"/>
        </w:rPr>
        <w:t>.</w:t>
      </w:r>
      <w:r>
        <w:rPr>
          <w:rFonts w:ascii="Tahoma" w:hAnsi="Tahoma" w:cs="Tahoma"/>
        </w:rPr>
        <w:t>388</w:t>
      </w:r>
      <w:r w:rsidRPr="00C967D9">
        <w:rPr>
          <w:rFonts w:ascii="Tahoma" w:hAnsi="Tahoma" w:cs="Tahoma"/>
        </w:rPr>
        <w:t xml:space="preserve"> (miles de $), para una variación absoluta de $</w:t>
      </w:r>
      <w:r>
        <w:rPr>
          <w:rFonts w:ascii="Tahoma" w:hAnsi="Tahoma" w:cs="Tahoma"/>
        </w:rPr>
        <w:t>732.411</w:t>
      </w:r>
      <w:r w:rsidRPr="00C967D9">
        <w:rPr>
          <w:rFonts w:ascii="Tahoma" w:hAnsi="Tahoma" w:cs="Tahoma"/>
        </w:rPr>
        <w:t xml:space="preserve"> (miles de $).</w:t>
      </w:r>
    </w:p>
    <w:p w:rsidR="001E67BD" w:rsidRPr="00C967D9" w:rsidRDefault="001E67BD" w:rsidP="001E67BD">
      <w:pPr>
        <w:spacing w:before="0" w:after="0" w:line="226" w:lineRule="auto"/>
        <w:jc w:val="both"/>
        <w:rPr>
          <w:rFonts w:ascii="Tahoma" w:hAnsi="Tahoma" w:cs="Tahoma"/>
        </w:rPr>
      </w:pPr>
    </w:p>
    <w:p w:rsidR="001E67BD" w:rsidRPr="00C967D9" w:rsidRDefault="001E67BD" w:rsidP="001E67BD">
      <w:pPr>
        <w:spacing w:before="0" w:after="0" w:line="226" w:lineRule="auto"/>
        <w:jc w:val="both"/>
        <w:rPr>
          <w:rFonts w:ascii="Tahoma" w:hAnsi="Tahoma" w:cs="Tahoma"/>
        </w:rPr>
      </w:pPr>
      <w:r w:rsidRPr="00C967D9">
        <w:rPr>
          <w:rFonts w:ascii="Tahoma" w:hAnsi="Tahoma" w:cs="Tahoma"/>
        </w:rPr>
        <w:t>La cuenta Deudores muestra un</w:t>
      </w:r>
      <w:r>
        <w:rPr>
          <w:rFonts w:ascii="Tahoma" w:hAnsi="Tahoma" w:cs="Tahoma"/>
        </w:rPr>
        <w:t xml:space="preserve">a disminución </w:t>
      </w:r>
      <w:r w:rsidRPr="00C967D9">
        <w:rPr>
          <w:rFonts w:ascii="Tahoma" w:hAnsi="Tahoma" w:cs="Tahoma"/>
        </w:rPr>
        <w:t xml:space="preserve">del </w:t>
      </w:r>
      <w:r>
        <w:rPr>
          <w:rFonts w:ascii="Tahoma" w:hAnsi="Tahoma" w:cs="Tahoma"/>
        </w:rPr>
        <w:t>1.05</w:t>
      </w:r>
      <w:r w:rsidRPr="00C967D9">
        <w:rPr>
          <w:rFonts w:ascii="Tahoma" w:hAnsi="Tahoma" w:cs="Tahoma"/>
        </w:rPr>
        <w:t xml:space="preserve">%, </w:t>
      </w:r>
      <w:r>
        <w:rPr>
          <w:rFonts w:ascii="Tahoma" w:hAnsi="Tahoma" w:cs="Tahoma"/>
        </w:rPr>
        <w:t>es decir $96.345</w:t>
      </w:r>
      <w:r w:rsidRPr="00C967D9">
        <w:rPr>
          <w:rFonts w:ascii="Tahoma" w:hAnsi="Tahoma" w:cs="Tahoma"/>
        </w:rPr>
        <w:t xml:space="preserve"> (miles de $)  </w:t>
      </w:r>
      <w:r>
        <w:rPr>
          <w:rFonts w:ascii="Tahoma" w:hAnsi="Tahoma" w:cs="Tahoma"/>
        </w:rPr>
        <w:t>del 2014 al 2015, por su parte la Propiedad Planta y Equipo nos muestra un aumento en su saldo del 5.46%, al pasar de la suma de $154.075.530 miles de $ en el 2014, a un valor en el 2015 de $162.488.052 miles de pesos</w:t>
      </w:r>
    </w:p>
    <w:p w:rsidR="001E67BD" w:rsidRPr="00C967D9" w:rsidRDefault="001E67BD" w:rsidP="001E67BD">
      <w:pPr>
        <w:spacing w:before="0" w:after="0" w:line="226" w:lineRule="auto"/>
        <w:jc w:val="both"/>
        <w:rPr>
          <w:rFonts w:ascii="Tahoma" w:hAnsi="Tahoma" w:cs="Tahoma"/>
          <w:sz w:val="18"/>
        </w:rPr>
      </w:pPr>
    </w:p>
    <w:p w:rsidR="001E67BD" w:rsidRDefault="001E67BD" w:rsidP="001E67BD">
      <w:pPr>
        <w:spacing w:before="0" w:after="0" w:line="226" w:lineRule="auto"/>
        <w:jc w:val="both"/>
        <w:rPr>
          <w:rFonts w:ascii="Tahoma" w:hAnsi="Tahoma" w:cs="Tahoma"/>
        </w:rPr>
      </w:pPr>
      <w:r w:rsidRPr="00C967D9">
        <w:rPr>
          <w:rFonts w:ascii="Tahoma" w:hAnsi="Tahoma" w:cs="Tahoma"/>
        </w:rPr>
        <w:t>Ahora, en cuanto a los Pasivos estos reflejan un aumento</w:t>
      </w:r>
      <w:r>
        <w:rPr>
          <w:rFonts w:ascii="Tahoma" w:hAnsi="Tahoma" w:cs="Tahoma"/>
        </w:rPr>
        <w:t xml:space="preserve"> considerable del</w:t>
      </w:r>
      <w:r w:rsidRPr="00C967D9">
        <w:rPr>
          <w:rFonts w:ascii="Tahoma" w:hAnsi="Tahoma" w:cs="Tahoma"/>
        </w:rPr>
        <w:t xml:space="preserve"> </w:t>
      </w:r>
      <w:r>
        <w:rPr>
          <w:rFonts w:ascii="Tahoma" w:hAnsi="Tahoma" w:cs="Tahoma"/>
        </w:rPr>
        <w:t>74.95%</w:t>
      </w:r>
      <w:r w:rsidRPr="00C967D9">
        <w:rPr>
          <w:rFonts w:ascii="Tahoma" w:hAnsi="Tahoma" w:cs="Tahoma"/>
        </w:rPr>
        <w:t xml:space="preserve">, donde las </w:t>
      </w:r>
      <w:r>
        <w:rPr>
          <w:rFonts w:ascii="Tahoma" w:hAnsi="Tahoma" w:cs="Tahoma"/>
        </w:rPr>
        <w:t>Obligaciones Laborales y de Seguridad Social reflejan el mayor aumento de las cuentas del pasivo con el 247.56%, esto tiene su explicación en el hecho que la Universidad del Tolima, debido a su crisis de liquides a 31 de diciembre de 2015 no cancelo los salarios y la prima de navidad de los funcionarios administrativos así como la parte profesoral de planta.</w:t>
      </w:r>
    </w:p>
    <w:p w:rsidR="001E67BD" w:rsidRDefault="001E67BD" w:rsidP="001E67BD">
      <w:pPr>
        <w:spacing w:before="0" w:after="0" w:line="226" w:lineRule="auto"/>
        <w:jc w:val="both"/>
        <w:rPr>
          <w:rFonts w:ascii="Tahoma" w:hAnsi="Tahoma" w:cs="Tahoma"/>
        </w:rPr>
      </w:pPr>
    </w:p>
    <w:p w:rsidR="001E67BD" w:rsidRDefault="001E67BD" w:rsidP="001E67BD">
      <w:pPr>
        <w:spacing w:before="0" w:after="0" w:line="226" w:lineRule="auto"/>
        <w:jc w:val="both"/>
        <w:rPr>
          <w:rFonts w:ascii="Tahoma" w:hAnsi="Tahoma" w:cs="Tahoma"/>
        </w:rPr>
      </w:pPr>
      <w:r w:rsidRPr="00C967D9">
        <w:rPr>
          <w:rFonts w:ascii="Tahoma" w:hAnsi="Tahoma" w:cs="Tahoma"/>
        </w:rPr>
        <w:t>En cuanto al Patrimonio, se reporta</w:t>
      </w:r>
      <w:r>
        <w:rPr>
          <w:rFonts w:ascii="Tahoma" w:hAnsi="Tahoma" w:cs="Tahoma"/>
        </w:rPr>
        <w:t xml:space="preserve"> con</w:t>
      </w:r>
      <w:r w:rsidRPr="00C967D9">
        <w:rPr>
          <w:rFonts w:ascii="Tahoma" w:hAnsi="Tahoma" w:cs="Tahoma"/>
        </w:rPr>
        <w:t xml:space="preserve"> un </w:t>
      </w:r>
      <w:r>
        <w:rPr>
          <w:rFonts w:ascii="Tahoma" w:hAnsi="Tahoma" w:cs="Tahoma"/>
        </w:rPr>
        <w:t>aumento</w:t>
      </w:r>
      <w:r w:rsidRPr="00C967D9">
        <w:rPr>
          <w:rFonts w:ascii="Tahoma" w:hAnsi="Tahoma" w:cs="Tahoma"/>
        </w:rPr>
        <w:t xml:space="preserve"> del </w:t>
      </w:r>
      <w:r>
        <w:rPr>
          <w:rFonts w:ascii="Tahoma" w:hAnsi="Tahoma" w:cs="Tahoma"/>
        </w:rPr>
        <w:t>7.16</w:t>
      </w:r>
      <w:r w:rsidRPr="00C967D9">
        <w:rPr>
          <w:rFonts w:ascii="Tahoma" w:hAnsi="Tahoma" w:cs="Tahoma"/>
        </w:rPr>
        <w:t>%</w:t>
      </w:r>
      <w:r>
        <w:rPr>
          <w:rFonts w:ascii="Tahoma" w:hAnsi="Tahoma" w:cs="Tahoma"/>
        </w:rPr>
        <w:t>, no obstante haber generado un déficit en el ejercicio fiscal 2015 por la suma de $18.933.136 miles de $, es decir que comparado con el 2014 porcentualmente tuvo un aumento del 870.22%</w:t>
      </w:r>
    </w:p>
    <w:p w:rsidR="001E67BD" w:rsidRDefault="001E67BD" w:rsidP="001E67BD">
      <w:pPr>
        <w:spacing w:before="0" w:after="0" w:line="226" w:lineRule="auto"/>
        <w:jc w:val="both"/>
        <w:rPr>
          <w:rFonts w:ascii="Tahoma" w:hAnsi="Tahoma" w:cs="Tahoma"/>
        </w:rPr>
      </w:pPr>
    </w:p>
    <w:p w:rsidR="001E67BD" w:rsidRDefault="003B70A9" w:rsidP="001E67BD">
      <w:pPr>
        <w:spacing w:before="0" w:after="0" w:line="226" w:lineRule="auto"/>
        <w:jc w:val="both"/>
        <w:rPr>
          <w:rFonts w:ascii="Tahoma" w:hAnsi="Tahoma" w:cs="Tahoma"/>
        </w:rPr>
      </w:pPr>
      <w:r>
        <w:rPr>
          <w:rFonts w:ascii="Tahoma" w:hAnsi="Tahoma" w:cs="Tahoma"/>
          <w:noProof/>
        </w:rPr>
        <w:drawing>
          <wp:inline distT="0" distB="0" distL="0" distR="0" wp14:anchorId="028F2176">
            <wp:extent cx="5433623" cy="289560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38140" cy="2898007"/>
                    </a:xfrm>
                    <a:prstGeom prst="rect">
                      <a:avLst/>
                    </a:prstGeom>
                    <a:noFill/>
                  </pic:spPr>
                </pic:pic>
              </a:graphicData>
            </a:graphic>
          </wp:inline>
        </w:drawing>
      </w:r>
    </w:p>
    <w:p w:rsidR="003B70A9" w:rsidRDefault="003B70A9" w:rsidP="001E67BD">
      <w:pPr>
        <w:spacing w:before="0" w:after="0" w:line="226" w:lineRule="auto"/>
        <w:jc w:val="both"/>
        <w:rPr>
          <w:rFonts w:ascii="Tahoma" w:hAnsi="Tahoma" w:cs="Tahoma"/>
        </w:rPr>
      </w:pPr>
    </w:p>
    <w:p w:rsidR="003B70A9" w:rsidRDefault="003B70A9" w:rsidP="001E67BD">
      <w:pPr>
        <w:spacing w:before="0" w:after="0" w:line="226" w:lineRule="auto"/>
        <w:jc w:val="both"/>
        <w:rPr>
          <w:rFonts w:ascii="Tahoma" w:hAnsi="Tahoma" w:cs="Tahoma"/>
        </w:rPr>
      </w:pPr>
    </w:p>
    <w:p w:rsidR="001E67BD" w:rsidRDefault="001E67BD" w:rsidP="003B70A9">
      <w:pPr>
        <w:pStyle w:val="Prrafodelista"/>
        <w:numPr>
          <w:ilvl w:val="0"/>
          <w:numId w:val="2"/>
        </w:numPr>
        <w:spacing w:before="0" w:after="0" w:line="228" w:lineRule="auto"/>
        <w:rPr>
          <w:rFonts w:ascii="Tahoma" w:hAnsi="Tahoma" w:cs="Tahoma"/>
          <w:b/>
        </w:rPr>
      </w:pPr>
      <w:r w:rsidRPr="00AD4CE9">
        <w:rPr>
          <w:rFonts w:ascii="Tahoma" w:hAnsi="Tahoma" w:cs="Tahoma"/>
          <w:b/>
        </w:rPr>
        <w:t xml:space="preserve">ESTADO DE </w:t>
      </w:r>
      <w:r>
        <w:rPr>
          <w:rFonts w:ascii="Tahoma" w:hAnsi="Tahoma" w:cs="Tahoma"/>
          <w:b/>
        </w:rPr>
        <w:t xml:space="preserve">RESULTADOS </w:t>
      </w:r>
      <w:r w:rsidRPr="00AD4CE9">
        <w:rPr>
          <w:rFonts w:ascii="Tahoma" w:hAnsi="Tahoma" w:cs="Tahoma"/>
          <w:b/>
        </w:rPr>
        <w:t>COMPARATIVO</w:t>
      </w:r>
      <w:r>
        <w:rPr>
          <w:rFonts w:ascii="Tahoma" w:hAnsi="Tahoma" w:cs="Tahoma"/>
          <w:b/>
        </w:rPr>
        <w:t>.</w:t>
      </w:r>
    </w:p>
    <w:p w:rsidR="001E67BD" w:rsidRDefault="001E67BD" w:rsidP="001E67BD">
      <w:pPr>
        <w:pStyle w:val="Prrafodelista"/>
        <w:spacing w:before="0" w:after="0" w:line="228" w:lineRule="auto"/>
        <w:rPr>
          <w:rFonts w:ascii="Tahoma" w:hAnsi="Tahoma" w:cs="Tahoma"/>
          <w:b/>
        </w:rPr>
      </w:pPr>
    </w:p>
    <w:tbl>
      <w:tblPr>
        <w:tblW w:w="9918" w:type="dxa"/>
        <w:tblInd w:w="75" w:type="dxa"/>
        <w:tblLayout w:type="fixed"/>
        <w:tblCellMar>
          <w:left w:w="70" w:type="dxa"/>
          <w:right w:w="70" w:type="dxa"/>
        </w:tblCellMar>
        <w:tblLook w:val="04A0" w:firstRow="1" w:lastRow="0" w:firstColumn="1" w:lastColumn="0" w:noHBand="0" w:noVBand="1"/>
      </w:tblPr>
      <w:tblGrid>
        <w:gridCol w:w="1198"/>
        <w:gridCol w:w="3181"/>
        <w:gridCol w:w="1428"/>
        <w:gridCol w:w="1418"/>
        <w:gridCol w:w="1417"/>
        <w:gridCol w:w="1276"/>
      </w:tblGrid>
      <w:tr w:rsidR="001E67BD" w:rsidRPr="00553598" w:rsidTr="00A012F0">
        <w:trPr>
          <w:trHeight w:val="255"/>
        </w:trPr>
        <w:tc>
          <w:tcPr>
            <w:tcW w:w="9918" w:type="dxa"/>
            <w:gridSpan w:val="6"/>
            <w:tcBorders>
              <w:top w:val="nil"/>
              <w:left w:val="nil"/>
              <w:bottom w:val="nil"/>
              <w:right w:val="nil"/>
            </w:tcBorders>
            <w:shd w:val="clear" w:color="auto" w:fill="auto"/>
            <w:vAlign w:val="center"/>
            <w:hideMark/>
          </w:tcPr>
          <w:p w:rsidR="001E67BD" w:rsidRPr="003B70A9" w:rsidRDefault="001E67BD" w:rsidP="00A012F0">
            <w:pPr>
              <w:spacing w:before="0" w:after="0"/>
              <w:jc w:val="center"/>
              <w:rPr>
                <w:rFonts w:ascii="Tahoma" w:eastAsia="Times New Roman" w:hAnsi="Tahoma" w:cs="Tahoma"/>
                <w:b/>
                <w:bCs/>
                <w:color w:val="auto"/>
              </w:rPr>
            </w:pPr>
            <w:r w:rsidRPr="003B70A9">
              <w:rPr>
                <w:rFonts w:ascii="Tahoma" w:eastAsia="Times New Roman" w:hAnsi="Tahoma" w:cs="Tahoma"/>
                <w:b/>
                <w:bCs/>
                <w:color w:val="auto"/>
              </w:rPr>
              <w:t>UNIVERSIDAD DEL TOLIMA</w:t>
            </w:r>
          </w:p>
        </w:tc>
      </w:tr>
      <w:tr w:rsidR="001E67BD" w:rsidRPr="00553598" w:rsidTr="00A012F0">
        <w:trPr>
          <w:trHeight w:val="255"/>
        </w:trPr>
        <w:tc>
          <w:tcPr>
            <w:tcW w:w="9918" w:type="dxa"/>
            <w:gridSpan w:val="6"/>
            <w:tcBorders>
              <w:top w:val="nil"/>
              <w:left w:val="nil"/>
              <w:bottom w:val="nil"/>
              <w:right w:val="nil"/>
            </w:tcBorders>
            <w:shd w:val="clear" w:color="auto" w:fill="auto"/>
            <w:vAlign w:val="center"/>
            <w:hideMark/>
          </w:tcPr>
          <w:p w:rsidR="001E67BD" w:rsidRPr="003B70A9" w:rsidRDefault="001E67BD" w:rsidP="00A012F0">
            <w:pPr>
              <w:spacing w:before="0" w:after="0"/>
              <w:jc w:val="center"/>
              <w:rPr>
                <w:rFonts w:ascii="Tahoma" w:eastAsia="Times New Roman" w:hAnsi="Tahoma" w:cs="Tahoma"/>
                <w:b/>
                <w:bCs/>
                <w:color w:val="auto"/>
              </w:rPr>
            </w:pPr>
            <w:r w:rsidRPr="003B70A9">
              <w:rPr>
                <w:rFonts w:ascii="Tahoma" w:eastAsia="Times New Roman" w:hAnsi="Tahoma" w:cs="Tahoma"/>
                <w:b/>
                <w:bCs/>
                <w:color w:val="auto"/>
              </w:rPr>
              <w:t>Estado de Actividad Financiera, Económica y Social Comparativo</w:t>
            </w:r>
          </w:p>
        </w:tc>
      </w:tr>
      <w:tr w:rsidR="001E67BD" w:rsidRPr="00553598" w:rsidTr="00A012F0">
        <w:trPr>
          <w:trHeight w:val="255"/>
        </w:trPr>
        <w:tc>
          <w:tcPr>
            <w:tcW w:w="9918" w:type="dxa"/>
            <w:gridSpan w:val="6"/>
            <w:tcBorders>
              <w:top w:val="nil"/>
              <w:left w:val="nil"/>
              <w:bottom w:val="nil"/>
              <w:right w:val="nil"/>
            </w:tcBorders>
            <w:shd w:val="clear" w:color="auto" w:fill="auto"/>
            <w:vAlign w:val="center"/>
            <w:hideMark/>
          </w:tcPr>
          <w:p w:rsidR="001E67BD" w:rsidRPr="003B70A9" w:rsidRDefault="001E67BD" w:rsidP="00A012F0">
            <w:pPr>
              <w:spacing w:before="0" w:after="0"/>
              <w:jc w:val="center"/>
              <w:rPr>
                <w:rFonts w:ascii="Tahoma" w:eastAsia="Times New Roman" w:hAnsi="Tahoma" w:cs="Tahoma"/>
                <w:b/>
                <w:bCs/>
                <w:color w:val="auto"/>
              </w:rPr>
            </w:pPr>
            <w:r w:rsidRPr="003B70A9">
              <w:rPr>
                <w:rFonts w:ascii="Tahoma" w:eastAsia="Times New Roman" w:hAnsi="Tahoma" w:cs="Tahoma"/>
                <w:b/>
                <w:bCs/>
                <w:color w:val="auto"/>
              </w:rPr>
              <w:t>2015 – 2014</w:t>
            </w:r>
          </w:p>
        </w:tc>
      </w:tr>
      <w:tr w:rsidR="001E67BD" w:rsidRPr="00553598" w:rsidTr="00A012F0">
        <w:trPr>
          <w:trHeight w:val="255"/>
        </w:trPr>
        <w:tc>
          <w:tcPr>
            <w:tcW w:w="9918" w:type="dxa"/>
            <w:gridSpan w:val="6"/>
            <w:tcBorders>
              <w:top w:val="nil"/>
              <w:left w:val="nil"/>
              <w:bottom w:val="nil"/>
              <w:right w:val="nil"/>
            </w:tcBorders>
            <w:shd w:val="clear" w:color="auto" w:fill="auto"/>
            <w:vAlign w:val="center"/>
            <w:hideMark/>
          </w:tcPr>
          <w:p w:rsidR="001E67BD" w:rsidRPr="003B70A9" w:rsidRDefault="001E67BD" w:rsidP="00A012F0">
            <w:pPr>
              <w:spacing w:before="0" w:after="0"/>
              <w:jc w:val="center"/>
              <w:rPr>
                <w:rFonts w:ascii="Tahoma" w:eastAsia="Times New Roman" w:hAnsi="Tahoma" w:cs="Tahoma"/>
                <w:b/>
                <w:bCs/>
                <w:color w:val="auto"/>
              </w:rPr>
            </w:pPr>
            <w:r w:rsidRPr="003B70A9">
              <w:rPr>
                <w:rFonts w:ascii="Tahoma" w:eastAsia="Times New Roman" w:hAnsi="Tahoma" w:cs="Tahoma"/>
                <w:b/>
                <w:bCs/>
                <w:color w:val="auto"/>
              </w:rPr>
              <w:t>Análisis Horizontal</w:t>
            </w:r>
          </w:p>
        </w:tc>
      </w:tr>
      <w:tr w:rsidR="001E67BD" w:rsidRPr="00553598" w:rsidTr="00A012F0">
        <w:trPr>
          <w:trHeight w:val="270"/>
        </w:trPr>
        <w:tc>
          <w:tcPr>
            <w:tcW w:w="1198" w:type="dxa"/>
            <w:tcBorders>
              <w:top w:val="nil"/>
              <w:left w:val="nil"/>
              <w:bottom w:val="nil"/>
              <w:right w:val="nil"/>
            </w:tcBorders>
            <w:shd w:val="clear" w:color="auto" w:fill="auto"/>
            <w:vAlign w:val="center"/>
            <w:hideMark/>
          </w:tcPr>
          <w:p w:rsidR="001E67BD" w:rsidRPr="00553598" w:rsidRDefault="001E67BD" w:rsidP="00A012F0">
            <w:pPr>
              <w:spacing w:before="0" w:after="0"/>
              <w:jc w:val="center"/>
              <w:rPr>
                <w:rFonts w:eastAsia="Times New Roman"/>
                <w:b/>
                <w:bCs/>
                <w:color w:val="auto"/>
                <w:sz w:val="18"/>
                <w:szCs w:val="18"/>
              </w:rPr>
            </w:pPr>
          </w:p>
        </w:tc>
        <w:tc>
          <w:tcPr>
            <w:tcW w:w="3181" w:type="dxa"/>
            <w:tcBorders>
              <w:top w:val="nil"/>
              <w:left w:val="nil"/>
              <w:bottom w:val="nil"/>
              <w:right w:val="nil"/>
            </w:tcBorders>
            <w:shd w:val="clear" w:color="auto" w:fill="auto"/>
            <w:vAlign w:val="center"/>
            <w:hideMark/>
          </w:tcPr>
          <w:p w:rsidR="001E67BD" w:rsidRPr="00553598" w:rsidRDefault="001E67BD" w:rsidP="00A012F0">
            <w:pPr>
              <w:spacing w:before="0" w:after="0"/>
              <w:jc w:val="center"/>
              <w:rPr>
                <w:rFonts w:ascii="Times New Roman" w:eastAsia="Times New Roman" w:hAnsi="Times New Roman" w:cs="Times New Roman"/>
                <w:color w:val="auto"/>
                <w:sz w:val="20"/>
                <w:szCs w:val="20"/>
              </w:rPr>
            </w:pPr>
          </w:p>
        </w:tc>
        <w:tc>
          <w:tcPr>
            <w:tcW w:w="1428" w:type="dxa"/>
            <w:tcBorders>
              <w:top w:val="nil"/>
              <w:left w:val="nil"/>
              <w:bottom w:val="nil"/>
              <w:right w:val="nil"/>
            </w:tcBorders>
            <w:shd w:val="clear" w:color="auto" w:fill="auto"/>
            <w:vAlign w:val="center"/>
            <w:hideMark/>
          </w:tcPr>
          <w:p w:rsidR="001E67BD" w:rsidRPr="00553598" w:rsidRDefault="001E67BD" w:rsidP="00A012F0">
            <w:pPr>
              <w:spacing w:before="0" w:after="0"/>
              <w:jc w:val="center"/>
              <w:rPr>
                <w:rFonts w:ascii="Times New Roman" w:eastAsia="Times New Roman" w:hAnsi="Times New Roman" w:cs="Times New Roman"/>
                <w:color w:val="auto"/>
                <w:sz w:val="20"/>
                <w:szCs w:val="20"/>
              </w:rPr>
            </w:pPr>
          </w:p>
        </w:tc>
        <w:tc>
          <w:tcPr>
            <w:tcW w:w="1418" w:type="dxa"/>
            <w:tcBorders>
              <w:top w:val="nil"/>
              <w:left w:val="nil"/>
              <w:bottom w:val="nil"/>
              <w:right w:val="nil"/>
            </w:tcBorders>
            <w:shd w:val="clear" w:color="auto" w:fill="auto"/>
            <w:vAlign w:val="center"/>
            <w:hideMark/>
          </w:tcPr>
          <w:p w:rsidR="001E67BD" w:rsidRPr="00553598" w:rsidRDefault="001E67BD" w:rsidP="00A012F0">
            <w:pPr>
              <w:spacing w:before="0" w:after="0"/>
              <w:jc w:val="center"/>
              <w:rPr>
                <w:rFonts w:ascii="Times New Roman" w:eastAsia="Times New Roman" w:hAnsi="Times New Roman" w:cs="Times New Roman"/>
                <w:color w:val="auto"/>
                <w:sz w:val="20"/>
                <w:szCs w:val="20"/>
              </w:rPr>
            </w:pPr>
          </w:p>
        </w:tc>
        <w:tc>
          <w:tcPr>
            <w:tcW w:w="1417" w:type="dxa"/>
            <w:tcBorders>
              <w:top w:val="nil"/>
              <w:left w:val="nil"/>
              <w:bottom w:val="nil"/>
              <w:right w:val="nil"/>
            </w:tcBorders>
            <w:shd w:val="clear" w:color="auto" w:fill="auto"/>
            <w:vAlign w:val="center"/>
            <w:hideMark/>
          </w:tcPr>
          <w:p w:rsidR="001E67BD" w:rsidRPr="00553598" w:rsidRDefault="001E67BD" w:rsidP="00A012F0">
            <w:pPr>
              <w:spacing w:before="0" w:after="0"/>
              <w:jc w:val="center"/>
              <w:rPr>
                <w:rFonts w:ascii="Times New Roman" w:eastAsia="Times New Roman" w:hAnsi="Times New Roman" w:cs="Times New Roman"/>
                <w:color w:val="auto"/>
                <w:sz w:val="20"/>
                <w:szCs w:val="20"/>
              </w:rPr>
            </w:pPr>
          </w:p>
        </w:tc>
        <w:tc>
          <w:tcPr>
            <w:tcW w:w="1276" w:type="dxa"/>
            <w:tcBorders>
              <w:top w:val="nil"/>
              <w:left w:val="nil"/>
              <w:bottom w:val="nil"/>
              <w:right w:val="nil"/>
            </w:tcBorders>
            <w:shd w:val="clear" w:color="auto" w:fill="auto"/>
            <w:vAlign w:val="center"/>
            <w:hideMark/>
          </w:tcPr>
          <w:p w:rsidR="001E67BD" w:rsidRPr="00553598" w:rsidRDefault="001E67BD" w:rsidP="00A012F0">
            <w:pPr>
              <w:spacing w:before="0" w:after="0"/>
              <w:jc w:val="center"/>
              <w:rPr>
                <w:rFonts w:eastAsia="Times New Roman"/>
                <w:color w:val="auto"/>
                <w:sz w:val="18"/>
                <w:szCs w:val="18"/>
              </w:rPr>
            </w:pPr>
            <w:r w:rsidRPr="00553598">
              <w:rPr>
                <w:rFonts w:eastAsia="Times New Roman"/>
                <w:color w:val="auto"/>
                <w:sz w:val="18"/>
                <w:szCs w:val="18"/>
              </w:rPr>
              <w:t>Miles de $</w:t>
            </w:r>
          </w:p>
        </w:tc>
      </w:tr>
      <w:tr w:rsidR="001E67BD" w:rsidRPr="00553598" w:rsidTr="00A012F0">
        <w:trPr>
          <w:trHeight w:val="495"/>
        </w:trPr>
        <w:tc>
          <w:tcPr>
            <w:tcW w:w="1198" w:type="dxa"/>
            <w:tcBorders>
              <w:top w:val="single" w:sz="8" w:space="0" w:color="000000"/>
              <w:left w:val="single" w:sz="8" w:space="0" w:color="000000"/>
              <w:bottom w:val="single" w:sz="8" w:space="0" w:color="000000"/>
              <w:right w:val="single" w:sz="8" w:space="0" w:color="000000"/>
            </w:tcBorders>
            <w:shd w:val="clear" w:color="000000" w:fill="974706"/>
            <w:vAlign w:val="center"/>
            <w:hideMark/>
          </w:tcPr>
          <w:p w:rsidR="001E67BD" w:rsidRPr="003B70A9" w:rsidRDefault="001E67BD" w:rsidP="00A012F0">
            <w:pPr>
              <w:spacing w:before="0" w:after="0"/>
              <w:jc w:val="center"/>
              <w:rPr>
                <w:rFonts w:ascii="Tahoma" w:eastAsia="Times New Roman" w:hAnsi="Tahoma" w:cs="Tahoma"/>
                <w:b/>
                <w:bCs/>
                <w:color w:val="FFFFFF"/>
                <w:sz w:val="18"/>
                <w:szCs w:val="18"/>
              </w:rPr>
            </w:pPr>
            <w:r w:rsidRPr="003B70A9">
              <w:rPr>
                <w:rFonts w:ascii="Tahoma" w:eastAsia="Times New Roman" w:hAnsi="Tahoma" w:cs="Tahoma"/>
                <w:b/>
                <w:bCs/>
                <w:color w:val="FFFFFF"/>
                <w:sz w:val="18"/>
                <w:szCs w:val="18"/>
              </w:rPr>
              <w:t>CODIGO</w:t>
            </w:r>
          </w:p>
        </w:tc>
        <w:tc>
          <w:tcPr>
            <w:tcW w:w="3181" w:type="dxa"/>
            <w:tcBorders>
              <w:top w:val="single" w:sz="8" w:space="0" w:color="000000"/>
              <w:left w:val="nil"/>
              <w:bottom w:val="single" w:sz="8" w:space="0" w:color="000000"/>
              <w:right w:val="nil"/>
            </w:tcBorders>
            <w:shd w:val="clear" w:color="000000" w:fill="974706"/>
            <w:vAlign w:val="center"/>
            <w:hideMark/>
          </w:tcPr>
          <w:p w:rsidR="001E67BD" w:rsidRPr="003B70A9" w:rsidRDefault="001E67BD" w:rsidP="00A012F0">
            <w:pPr>
              <w:spacing w:before="0" w:after="0"/>
              <w:jc w:val="center"/>
              <w:rPr>
                <w:rFonts w:ascii="Tahoma" w:eastAsia="Times New Roman" w:hAnsi="Tahoma" w:cs="Tahoma"/>
                <w:b/>
                <w:bCs/>
                <w:color w:val="FFFFFF"/>
                <w:sz w:val="18"/>
                <w:szCs w:val="18"/>
              </w:rPr>
            </w:pPr>
            <w:r w:rsidRPr="003B70A9">
              <w:rPr>
                <w:rFonts w:ascii="Tahoma" w:eastAsia="Times New Roman" w:hAnsi="Tahoma" w:cs="Tahoma"/>
                <w:b/>
                <w:bCs/>
                <w:color w:val="FFFFFF"/>
                <w:sz w:val="18"/>
                <w:szCs w:val="18"/>
              </w:rPr>
              <w:t>NOMBRE</w:t>
            </w:r>
          </w:p>
        </w:tc>
        <w:tc>
          <w:tcPr>
            <w:tcW w:w="1428" w:type="dxa"/>
            <w:tcBorders>
              <w:top w:val="single" w:sz="8" w:space="0" w:color="auto"/>
              <w:left w:val="single" w:sz="8" w:space="0" w:color="auto"/>
              <w:bottom w:val="single" w:sz="8" w:space="0" w:color="auto"/>
              <w:right w:val="single" w:sz="8" w:space="0" w:color="000000"/>
            </w:tcBorders>
            <w:shd w:val="clear" w:color="000000" w:fill="974706"/>
            <w:vAlign w:val="center"/>
            <w:hideMark/>
          </w:tcPr>
          <w:p w:rsidR="001E67BD" w:rsidRPr="003B70A9" w:rsidRDefault="001E67BD" w:rsidP="00A012F0">
            <w:pPr>
              <w:spacing w:before="0" w:after="0"/>
              <w:jc w:val="center"/>
              <w:rPr>
                <w:rFonts w:ascii="Tahoma" w:eastAsia="Times New Roman" w:hAnsi="Tahoma" w:cs="Tahoma"/>
                <w:b/>
                <w:bCs/>
                <w:color w:val="FFFFFF"/>
                <w:sz w:val="18"/>
                <w:szCs w:val="18"/>
              </w:rPr>
            </w:pPr>
            <w:r w:rsidRPr="003B70A9">
              <w:rPr>
                <w:rFonts w:ascii="Tahoma" w:eastAsia="Times New Roman" w:hAnsi="Tahoma" w:cs="Tahoma"/>
                <w:b/>
                <w:bCs/>
                <w:color w:val="FFFFFF"/>
                <w:sz w:val="18"/>
                <w:szCs w:val="18"/>
              </w:rPr>
              <w:t>SALDO FINAL DIC – 2015</w:t>
            </w:r>
          </w:p>
        </w:tc>
        <w:tc>
          <w:tcPr>
            <w:tcW w:w="1418" w:type="dxa"/>
            <w:tcBorders>
              <w:top w:val="single" w:sz="8" w:space="0" w:color="auto"/>
              <w:left w:val="nil"/>
              <w:bottom w:val="single" w:sz="8" w:space="0" w:color="auto"/>
              <w:right w:val="single" w:sz="8" w:space="0" w:color="000000"/>
            </w:tcBorders>
            <w:shd w:val="clear" w:color="000000" w:fill="974706"/>
            <w:vAlign w:val="center"/>
            <w:hideMark/>
          </w:tcPr>
          <w:p w:rsidR="001E67BD" w:rsidRPr="003B70A9" w:rsidRDefault="001E67BD" w:rsidP="00A012F0">
            <w:pPr>
              <w:spacing w:before="0" w:after="0"/>
              <w:jc w:val="center"/>
              <w:rPr>
                <w:rFonts w:ascii="Tahoma" w:eastAsia="Times New Roman" w:hAnsi="Tahoma" w:cs="Tahoma"/>
                <w:b/>
                <w:bCs/>
                <w:color w:val="FFFFFF"/>
                <w:sz w:val="18"/>
                <w:szCs w:val="18"/>
              </w:rPr>
            </w:pPr>
            <w:r w:rsidRPr="003B70A9">
              <w:rPr>
                <w:rFonts w:ascii="Tahoma" w:eastAsia="Times New Roman" w:hAnsi="Tahoma" w:cs="Tahoma"/>
                <w:b/>
                <w:bCs/>
                <w:color w:val="FFFFFF"/>
                <w:sz w:val="18"/>
                <w:szCs w:val="18"/>
              </w:rPr>
              <w:t>SALDO FINAL DIC-2014</w:t>
            </w:r>
          </w:p>
        </w:tc>
        <w:tc>
          <w:tcPr>
            <w:tcW w:w="1417" w:type="dxa"/>
            <w:tcBorders>
              <w:top w:val="single" w:sz="8" w:space="0" w:color="auto"/>
              <w:left w:val="nil"/>
              <w:bottom w:val="single" w:sz="8" w:space="0" w:color="auto"/>
              <w:right w:val="single" w:sz="8" w:space="0" w:color="000000"/>
            </w:tcBorders>
            <w:shd w:val="clear" w:color="000000" w:fill="974706"/>
            <w:vAlign w:val="center"/>
            <w:hideMark/>
          </w:tcPr>
          <w:p w:rsidR="001E67BD" w:rsidRPr="003B70A9" w:rsidRDefault="001E67BD" w:rsidP="00A012F0">
            <w:pPr>
              <w:spacing w:before="0" w:after="0"/>
              <w:jc w:val="center"/>
              <w:rPr>
                <w:rFonts w:ascii="Tahoma" w:eastAsia="Times New Roman" w:hAnsi="Tahoma" w:cs="Tahoma"/>
                <w:b/>
                <w:bCs/>
                <w:color w:val="FFFFFF"/>
                <w:sz w:val="18"/>
                <w:szCs w:val="18"/>
              </w:rPr>
            </w:pPr>
            <w:r w:rsidRPr="003B70A9">
              <w:rPr>
                <w:rFonts w:ascii="Tahoma" w:eastAsia="Times New Roman" w:hAnsi="Tahoma" w:cs="Tahoma"/>
                <w:b/>
                <w:bCs/>
                <w:color w:val="FFFFFF"/>
                <w:sz w:val="18"/>
                <w:szCs w:val="18"/>
              </w:rPr>
              <w:t>VARIACION ABSOLUTA</w:t>
            </w:r>
          </w:p>
        </w:tc>
        <w:tc>
          <w:tcPr>
            <w:tcW w:w="1276" w:type="dxa"/>
            <w:tcBorders>
              <w:top w:val="single" w:sz="8" w:space="0" w:color="auto"/>
              <w:left w:val="nil"/>
              <w:bottom w:val="single" w:sz="8" w:space="0" w:color="auto"/>
              <w:right w:val="single" w:sz="8" w:space="0" w:color="auto"/>
            </w:tcBorders>
            <w:shd w:val="clear" w:color="000000" w:fill="974706"/>
            <w:vAlign w:val="center"/>
            <w:hideMark/>
          </w:tcPr>
          <w:p w:rsidR="001E67BD" w:rsidRPr="003B70A9" w:rsidRDefault="001E67BD" w:rsidP="00A012F0">
            <w:pPr>
              <w:spacing w:before="0" w:after="0"/>
              <w:jc w:val="center"/>
              <w:rPr>
                <w:rFonts w:ascii="Tahoma" w:eastAsia="Times New Roman" w:hAnsi="Tahoma" w:cs="Tahoma"/>
                <w:b/>
                <w:bCs/>
                <w:color w:val="FFFFFF"/>
                <w:sz w:val="18"/>
                <w:szCs w:val="18"/>
              </w:rPr>
            </w:pPr>
            <w:r w:rsidRPr="003B70A9">
              <w:rPr>
                <w:rFonts w:ascii="Tahoma" w:eastAsia="Times New Roman" w:hAnsi="Tahoma" w:cs="Tahoma"/>
                <w:b/>
                <w:bCs/>
                <w:color w:val="FFFFFF"/>
                <w:sz w:val="18"/>
                <w:szCs w:val="18"/>
              </w:rPr>
              <w:t>VARIACION RELATIVA</w:t>
            </w:r>
          </w:p>
        </w:tc>
      </w:tr>
      <w:tr w:rsidR="001E67BD" w:rsidRPr="00553598" w:rsidTr="00A012F0">
        <w:trPr>
          <w:trHeight w:val="255"/>
        </w:trPr>
        <w:tc>
          <w:tcPr>
            <w:tcW w:w="119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4 </w:t>
            </w:r>
          </w:p>
        </w:tc>
        <w:tc>
          <w:tcPr>
            <w:tcW w:w="3181" w:type="dxa"/>
            <w:tcBorders>
              <w:top w:val="single" w:sz="4" w:space="0" w:color="000000"/>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INGRESOS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104.146.459</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106.859.522</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-2.713.063</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-2,54%</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4.1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INGRESOS FISCALES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0</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1.497.608</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-1.497.608</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-100,00%</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4.1.10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NO TRIBUTARIOS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0</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1.497.608</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-1.497.608</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-100,00%</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4.2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VENTA DE BIENES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547.553</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282.500</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265.053</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93,82%</w:t>
            </w:r>
          </w:p>
        </w:tc>
      </w:tr>
      <w:tr w:rsidR="001E67BD" w:rsidRPr="00553598" w:rsidTr="00A012F0">
        <w:trPr>
          <w:trHeight w:val="480"/>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4.2.01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PRODUCTOS AGROPECUARIOS, DE SILVICULTURA, AVICULTURA Y PESCA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509.563</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263.940</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245.623</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93,06%</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4.2.10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BIENES COMERCIALIZADOS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37.990</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18.560</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19.430</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104,69%</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lastRenderedPageBreak/>
              <w:t xml:space="preserve">4.3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VENTA DE SERVICIOS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46.701.458</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43.097.343</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3.604.115</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8,36%</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4.3.05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SERVICIOS EDUCATIVOS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47.215.111</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43.733.658</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3.481.453</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7,96%</w:t>
            </w:r>
          </w:p>
        </w:tc>
      </w:tr>
      <w:tr w:rsidR="001E67BD" w:rsidRPr="00553598" w:rsidTr="00A012F0">
        <w:trPr>
          <w:trHeight w:val="720"/>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4.3.95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DEVOLUCIONES, REBAJAS Y DESCUENTOS EN VENTA DE SERVICIOS (DB)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-513.653</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-636.315</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122.662</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-19,28%</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4.4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TRANSFERENCIAS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48.990.159</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57.654.790</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-8.664.631</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-15,03%</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4.4.28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OTRAS TRANSFERENCIAS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48.990.159</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57.654.790</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-8.664.631</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-15,03%</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4.8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OTROS INGRESOS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7.907.289</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4.327.281</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3.580.008</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82,73%</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4.8.05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FINANCIEROS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1.105.694</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1.368.623</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-262.929</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-19,21%</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4.8.08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OTROS INGRESOS ORDINARIOS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80.892</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118.781</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-37.889</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-31,90%</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4.8.10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EXTRAORDINARIOS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2.766.742</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1.468.239</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1.298.503</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88,44%</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4.8.15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AJUSTE DE EJERCICIOS ANTERIORES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3.953.961</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1.371.638</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2.582.323</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188,27%</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5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GASTOS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46.854.062</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37.489.348</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9.364.714</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24,98%</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5.1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DE ADMINISTRACIÓN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37.046.620</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36.927.387</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119.233</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0,32%</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5.1.01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SUELDOS Y SALARIOS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28.553.267</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26.784.770</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1.768.497</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6,60%</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5.1.02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CONTRIBUCIONES IMPUTADAS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483.765</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552.325</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-68.560</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-12,41%</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5.1.03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CONTRIBUCIONES EFECTIVAS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3.030.620</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2.843.929</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186.691</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6,56%</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5.1.04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APORTES SOBRE LA NÓMINA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357.084</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325.154</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31.930</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9,82%</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5.1.11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GENERALES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3.765.946</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5.747.944</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-1.981.998</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-34,48%</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5.1.20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IMPUESTOS, CONTRIBUCIONES Y TASAS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855.938</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673.265</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182.673</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27,13%</w:t>
            </w:r>
          </w:p>
        </w:tc>
      </w:tr>
      <w:tr w:rsidR="001E67BD" w:rsidRPr="00553598" w:rsidTr="00A012F0">
        <w:trPr>
          <w:trHeight w:val="480"/>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5.3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PROVISIONES, DEPRECIACIONES Y AMORTIZACIONES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230.924</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483.996</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-253.072</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-52,29%</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5.3.14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PROVISIÓN PARA CONTINGENCIAS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 </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318.000</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-318.000</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-100,00%</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5.3.45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AMORTIZACIÓN DE INTANGIBLES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230.924</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165.996</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64.928</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39,11%</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5.8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OTROS GASTOS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9.576.518</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77.965</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9.498.553</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12183,10%</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5.8.02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COMISIONES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115</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77.965</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-77.850</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-99,85%</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5.8.05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FINANCIEROS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2.764</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530</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2.234</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421,51%</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5.8.15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AJUSTE DE EJERCICIOS ANTERIORES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9.573.639</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77.435</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9.496.204</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12263,45%</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6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COSTOS DE VENTAS Y OPERACIÓN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76.225.533</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71.321.602</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4.903.931</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6,88%</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6.2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COSTO DE VENTAS DE BIENES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835.030</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463.860</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371.170</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80,02%</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6.2.05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BIENES PRODUCIDOS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792.209</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463.860</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328.349</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70,79%</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6.2.10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BIENES COMERCIALIZADOS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42.821</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0</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42.821</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100,00%</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6.3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COSTO DE VENTAS DE SERVICIOS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75.390.503</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70.857.742</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4.532.761</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6,40%</w:t>
            </w:r>
          </w:p>
        </w:tc>
      </w:tr>
      <w:tr w:rsidR="001E67BD" w:rsidRPr="00553598" w:rsidTr="00A012F0">
        <w:trPr>
          <w:trHeight w:val="255"/>
        </w:trPr>
        <w:tc>
          <w:tcPr>
            <w:tcW w:w="1198" w:type="dxa"/>
            <w:tcBorders>
              <w:top w:val="nil"/>
              <w:left w:val="single" w:sz="4" w:space="0" w:color="000000"/>
              <w:bottom w:val="single" w:sz="4" w:space="0" w:color="000000"/>
              <w:right w:val="single" w:sz="4" w:space="0" w:color="000000"/>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6.3.05 </w:t>
            </w:r>
          </w:p>
        </w:tc>
        <w:tc>
          <w:tcPr>
            <w:tcW w:w="3181" w:type="dxa"/>
            <w:tcBorders>
              <w:top w:val="nil"/>
              <w:left w:val="nil"/>
              <w:bottom w:val="single" w:sz="4" w:space="0" w:color="000000"/>
              <w:right w:val="nil"/>
            </w:tcBorders>
            <w:shd w:val="clear" w:color="auto" w:fill="auto"/>
            <w:vAlign w:val="center"/>
            <w:hideMark/>
          </w:tcPr>
          <w:p w:rsidR="001E67BD" w:rsidRPr="003B70A9" w:rsidRDefault="001E67BD" w:rsidP="00A012F0">
            <w:pPr>
              <w:spacing w:before="0" w:after="0"/>
              <w:rPr>
                <w:rFonts w:ascii="Tahoma" w:eastAsia="Times New Roman" w:hAnsi="Tahoma" w:cs="Tahoma"/>
                <w:color w:val="auto"/>
                <w:sz w:val="18"/>
                <w:szCs w:val="18"/>
              </w:rPr>
            </w:pPr>
            <w:r w:rsidRPr="003B70A9">
              <w:rPr>
                <w:rFonts w:ascii="Tahoma" w:eastAsia="Times New Roman" w:hAnsi="Tahoma" w:cs="Tahoma"/>
                <w:color w:val="auto"/>
                <w:sz w:val="18"/>
                <w:szCs w:val="18"/>
              </w:rPr>
              <w:t xml:space="preserve">SERVICIOS EDUCATIVOS </w:t>
            </w:r>
          </w:p>
        </w:tc>
        <w:tc>
          <w:tcPr>
            <w:tcW w:w="1428" w:type="dxa"/>
            <w:tcBorders>
              <w:top w:val="nil"/>
              <w:left w:val="single" w:sz="4" w:space="0" w:color="auto"/>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75.390.503</w:t>
            </w:r>
          </w:p>
        </w:tc>
        <w:tc>
          <w:tcPr>
            <w:tcW w:w="1418" w:type="dxa"/>
            <w:tcBorders>
              <w:top w:val="nil"/>
              <w:left w:val="nil"/>
              <w:bottom w:val="single" w:sz="4" w:space="0" w:color="auto"/>
              <w:right w:val="single" w:sz="4" w:space="0" w:color="auto"/>
            </w:tcBorders>
            <w:shd w:val="clear" w:color="auto" w:fill="auto"/>
            <w:vAlign w:val="center"/>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70.857.742</w:t>
            </w:r>
          </w:p>
        </w:tc>
        <w:tc>
          <w:tcPr>
            <w:tcW w:w="1417"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4.532.761</w:t>
            </w:r>
          </w:p>
        </w:tc>
        <w:tc>
          <w:tcPr>
            <w:tcW w:w="1276" w:type="dxa"/>
            <w:tcBorders>
              <w:top w:val="nil"/>
              <w:left w:val="nil"/>
              <w:bottom w:val="single" w:sz="4" w:space="0" w:color="auto"/>
              <w:right w:val="single" w:sz="4" w:space="0" w:color="auto"/>
            </w:tcBorders>
            <w:shd w:val="clear" w:color="auto" w:fill="auto"/>
            <w:noWrap/>
            <w:vAlign w:val="bottom"/>
            <w:hideMark/>
          </w:tcPr>
          <w:p w:rsidR="001E67BD" w:rsidRPr="003B70A9" w:rsidRDefault="001E67BD" w:rsidP="00A012F0">
            <w:pPr>
              <w:spacing w:before="0" w:after="0"/>
              <w:jc w:val="right"/>
              <w:rPr>
                <w:rFonts w:ascii="Tahoma" w:eastAsia="Times New Roman" w:hAnsi="Tahoma" w:cs="Tahoma"/>
                <w:color w:val="auto"/>
                <w:sz w:val="18"/>
                <w:szCs w:val="18"/>
              </w:rPr>
            </w:pPr>
            <w:r w:rsidRPr="003B70A9">
              <w:rPr>
                <w:rFonts w:ascii="Tahoma" w:eastAsia="Times New Roman" w:hAnsi="Tahoma" w:cs="Tahoma"/>
                <w:color w:val="auto"/>
                <w:sz w:val="18"/>
                <w:szCs w:val="18"/>
              </w:rPr>
              <w:t>6,40%</w:t>
            </w:r>
          </w:p>
        </w:tc>
      </w:tr>
    </w:tbl>
    <w:p w:rsidR="001E67BD" w:rsidRPr="00AD4CE9" w:rsidRDefault="001E67BD" w:rsidP="001E67BD">
      <w:pPr>
        <w:spacing w:before="0" w:after="0" w:line="228" w:lineRule="auto"/>
        <w:rPr>
          <w:rFonts w:ascii="Tahoma" w:hAnsi="Tahoma" w:cs="Tahoma"/>
        </w:rPr>
      </w:pPr>
    </w:p>
    <w:p w:rsidR="001E67BD" w:rsidRPr="00144609" w:rsidRDefault="001E67BD" w:rsidP="001E67BD">
      <w:pPr>
        <w:spacing w:before="0" w:after="0" w:line="228" w:lineRule="auto"/>
        <w:jc w:val="both"/>
        <w:rPr>
          <w:rFonts w:ascii="Tahoma" w:hAnsi="Tahoma" w:cs="Tahoma"/>
          <w:color w:val="auto"/>
        </w:rPr>
      </w:pPr>
      <w:r w:rsidRPr="00144609">
        <w:rPr>
          <w:rFonts w:ascii="Tahoma" w:hAnsi="Tahoma" w:cs="Tahoma"/>
          <w:color w:val="auto"/>
        </w:rPr>
        <w:t>Con respecto a</w:t>
      </w:r>
      <w:r>
        <w:rPr>
          <w:rFonts w:ascii="Tahoma" w:hAnsi="Tahoma" w:cs="Tahoma"/>
          <w:color w:val="auto"/>
        </w:rPr>
        <w:t xml:space="preserve">l </w:t>
      </w:r>
      <w:r w:rsidRPr="00144609">
        <w:rPr>
          <w:rFonts w:ascii="Tahoma" w:hAnsi="Tahoma" w:cs="Tahoma"/>
          <w:color w:val="auto"/>
        </w:rPr>
        <w:t>Estado</w:t>
      </w:r>
      <w:r>
        <w:rPr>
          <w:rFonts w:ascii="Tahoma" w:hAnsi="Tahoma" w:cs="Tahoma"/>
          <w:color w:val="auto"/>
        </w:rPr>
        <w:t xml:space="preserve"> de Resultados</w:t>
      </w:r>
      <w:r w:rsidRPr="00144609">
        <w:rPr>
          <w:rFonts w:ascii="Tahoma" w:hAnsi="Tahoma" w:cs="Tahoma"/>
          <w:color w:val="auto"/>
        </w:rPr>
        <w:t>, podemos co</w:t>
      </w:r>
      <w:r>
        <w:rPr>
          <w:rFonts w:ascii="Tahoma" w:hAnsi="Tahoma" w:cs="Tahoma"/>
          <w:color w:val="auto"/>
        </w:rPr>
        <w:t>ncluir que para la vigencia 2015</w:t>
      </w:r>
      <w:r w:rsidRPr="00144609">
        <w:rPr>
          <w:rFonts w:ascii="Tahoma" w:hAnsi="Tahoma" w:cs="Tahoma"/>
          <w:color w:val="auto"/>
        </w:rPr>
        <w:t xml:space="preserve"> los ingresos tuvieron un</w:t>
      </w:r>
      <w:r>
        <w:rPr>
          <w:rFonts w:ascii="Tahoma" w:hAnsi="Tahoma" w:cs="Tahoma"/>
          <w:color w:val="auto"/>
        </w:rPr>
        <w:t>a disminución</w:t>
      </w:r>
      <w:r w:rsidRPr="00144609">
        <w:rPr>
          <w:rFonts w:ascii="Tahoma" w:hAnsi="Tahoma" w:cs="Tahoma"/>
          <w:color w:val="auto"/>
        </w:rPr>
        <w:t xml:space="preserve"> del </w:t>
      </w:r>
      <w:r>
        <w:rPr>
          <w:rFonts w:ascii="Tahoma" w:hAnsi="Tahoma" w:cs="Tahoma"/>
          <w:color w:val="auto"/>
        </w:rPr>
        <w:t>2.54</w:t>
      </w:r>
      <w:r w:rsidRPr="00144609">
        <w:rPr>
          <w:rFonts w:ascii="Tahoma" w:hAnsi="Tahoma" w:cs="Tahoma"/>
          <w:color w:val="auto"/>
        </w:rPr>
        <w:t xml:space="preserve">% al igual que un aumento en los gastos de </w:t>
      </w:r>
      <w:r>
        <w:rPr>
          <w:rFonts w:ascii="Tahoma" w:hAnsi="Tahoma" w:cs="Tahoma"/>
          <w:color w:val="auto"/>
        </w:rPr>
        <w:t>24.98%</w:t>
      </w:r>
      <w:r w:rsidRPr="00144609">
        <w:rPr>
          <w:rFonts w:ascii="Tahoma" w:hAnsi="Tahoma" w:cs="Tahoma"/>
          <w:color w:val="auto"/>
        </w:rPr>
        <w:t xml:space="preserve">  lo que refleja claramente que los </w:t>
      </w:r>
      <w:r w:rsidRPr="00144609">
        <w:rPr>
          <w:color w:val="auto"/>
          <w:sz w:val="21"/>
          <w:szCs w:val="21"/>
          <w:shd w:val="clear" w:color="auto" w:fill="FFFFFF"/>
        </w:rPr>
        <w:t>ingresos, no permiten financiar los gast</w:t>
      </w:r>
      <w:r>
        <w:rPr>
          <w:color w:val="auto"/>
          <w:sz w:val="21"/>
          <w:szCs w:val="21"/>
          <w:shd w:val="clear" w:color="auto" w:fill="FFFFFF"/>
        </w:rPr>
        <w:t>os, lo que genera  un déficit en el ejercicio fiscal.</w:t>
      </w:r>
      <w:r w:rsidRPr="00144609">
        <w:rPr>
          <w:color w:val="auto"/>
          <w:sz w:val="21"/>
          <w:szCs w:val="21"/>
          <w:shd w:val="clear" w:color="auto" w:fill="FFFFFF"/>
        </w:rPr>
        <w:t xml:space="preserve"> </w:t>
      </w:r>
    </w:p>
    <w:p w:rsidR="001E67BD" w:rsidRPr="00144609" w:rsidRDefault="001E67BD" w:rsidP="001E67BD">
      <w:pPr>
        <w:spacing w:before="0" w:after="0" w:line="228" w:lineRule="auto"/>
        <w:jc w:val="both"/>
        <w:rPr>
          <w:rFonts w:ascii="Tahoma" w:hAnsi="Tahoma" w:cs="Tahoma"/>
          <w:color w:val="auto"/>
        </w:rPr>
      </w:pPr>
    </w:p>
    <w:p w:rsidR="001E67BD" w:rsidRDefault="001E67BD" w:rsidP="001E67BD">
      <w:pPr>
        <w:spacing w:before="0" w:after="0" w:line="228" w:lineRule="auto"/>
        <w:jc w:val="both"/>
        <w:rPr>
          <w:rFonts w:ascii="Tahoma" w:hAnsi="Tahoma" w:cs="Tahoma"/>
        </w:rPr>
      </w:pPr>
      <w:r>
        <w:rPr>
          <w:rFonts w:ascii="Tahoma" w:hAnsi="Tahoma" w:cs="Tahoma"/>
        </w:rPr>
        <w:lastRenderedPageBreak/>
        <w:t>Lo anterior principalmente a que los ingresos fiscales representados en el recaudo por la estampilla, para la vigencia 2015 con respecto al 2014, no registra ningún recaudo.</w:t>
      </w:r>
    </w:p>
    <w:p w:rsidR="001E67BD" w:rsidRDefault="001E67BD" w:rsidP="001E67BD">
      <w:pPr>
        <w:spacing w:before="0" w:after="0" w:line="228" w:lineRule="auto"/>
        <w:jc w:val="both"/>
        <w:rPr>
          <w:rFonts w:ascii="Tahoma" w:hAnsi="Tahoma" w:cs="Tahoma"/>
        </w:rPr>
      </w:pPr>
    </w:p>
    <w:p w:rsidR="001E67BD" w:rsidRPr="003724E7" w:rsidRDefault="001E67BD" w:rsidP="001E67BD">
      <w:pPr>
        <w:jc w:val="both"/>
        <w:rPr>
          <w:rFonts w:eastAsia="Times New Roman"/>
          <w:color w:val="auto"/>
          <w:sz w:val="18"/>
          <w:szCs w:val="18"/>
        </w:rPr>
      </w:pPr>
      <w:r>
        <w:rPr>
          <w:rFonts w:ascii="Tahoma" w:hAnsi="Tahoma" w:cs="Tahoma"/>
        </w:rPr>
        <w:t>Por otra parte los ingresos por transferencias también disminuyeron un 15.03%, una variación absoluta de $</w:t>
      </w:r>
      <w:r w:rsidRPr="003724E7">
        <w:rPr>
          <w:rFonts w:ascii="Tahoma" w:eastAsia="Times New Roman" w:hAnsi="Tahoma" w:cs="Tahoma"/>
          <w:color w:val="auto"/>
        </w:rPr>
        <w:t>-8.664.631</w:t>
      </w:r>
      <w:r>
        <w:rPr>
          <w:rFonts w:ascii="Tahoma" w:eastAsia="Times New Roman" w:hAnsi="Tahoma" w:cs="Tahoma"/>
          <w:color w:val="auto"/>
        </w:rPr>
        <w:t xml:space="preserve"> miles de pesos, con respecto a lo registrado en el 2014, no obstante lo anterior los ingresos por venta de servicios educativos se incrementaron el 8.36%, al igual que la venta de bienes el 93,82%. </w:t>
      </w:r>
    </w:p>
    <w:p w:rsidR="001E67BD" w:rsidRDefault="001E67BD" w:rsidP="001E67BD">
      <w:pPr>
        <w:spacing w:before="0" w:after="0" w:line="228" w:lineRule="auto"/>
        <w:jc w:val="both"/>
        <w:rPr>
          <w:rFonts w:ascii="Tahoma" w:hAnsi="Tahoma" w:cs="Tahoma"/>
        </w:rPr>
      </w:pPr>
    </w:p>
    <w:p w:rsidR="001E67BD" w:rsidRDefault="001E67BD" w:rsidP="001E67BD">
      <w:pPr>
        <w:spacing w:before="0" w:after="0" w:line="228" w:lineRule="auto"/>
        <w:jc w:val="both"/>
        <w:rPr>
          <w:rFonts w:ascii="Tahoma" w:hAnsi="Tahoma" w:cs="Tahoma"/>
        </w:rPr>
      </w:pPr>
      <w:r w:rsidRPr="00AD4CE9">
        <w:rPr>
          <w:rFonts w:ascii="Tahoma" w:hAnsi="Tahoma" w:cs="Tahoma"/>
        </w:rPr>
        <w:t xml:space="preserve">Ahora bien, </w:t>
      </w:r>
      <w:r>
        <w:rPr>
          <w:rFonts w:ascii="Tahoma" w:hAnsi="Tahoma" w:cs="Tahoma"/>
        </w:rPr>
        <w:t>los por su parte</w:t>
      </w:r>
      <w:r w:rsidRPr="00AD4CE9">
        <w:rPr>
          <w:rFonts w:ascii="Tahoma" w:hAnsi="Tahoma" w:cs="Tahoma"/>
        </w:rPr>
        <w:t xml:space="preserve"> Gastos </w:t>
      </w:r>
      <w:r>
        <w:rPr>
          <w:rFonts w:ascii="Tahoma" w:hAnsi="Tahoma" w:cs="Tahoma"/>
        </w:rPr>
        <w:t xml:space="preserve">se incrementaron en </w:t>
      </w:r>
      <w:r w:rsidRPr="00AD4CE9">
        <w:rPr>
          <w:rFonts w:ascii="Tahoma" w:hAnsi="Tahoma" w:cs="Tahoma"/>
        </w:rPr>
        <w:t xml:space="preserve">el </w:t>
      </w:r>
      <w:r>
        <w:rPr>
          <w:rFonts w:ascii="Tahoma" w:hAnsi="Tahoma" w:cs="Tahoma"/>
        </w:rPr>
        <w:t>24,98</w:t>
      </w:r>
      <w:r w:rsidRPr="00AD4CE9">
        <w:rPr>
          <w:rFonts w:ascii="Tahoma" w:hAnsi="Tahoma" w:cs="Tahoma"/>
        </w:rPr>
        <w:t>%, dentro de las cuentas más representativas por su incremento tenemos:</w:t>
      </w:r>
      <w:r>
        <w:rPr>
          <w:rFonts w:ascii="Tahoma" w:hAnsi="Tahoma" w:cs="Tahoma"/>
        </w:rPr>
        <w:t xml:space="preserve"> los Sueldos y Salario el 6.60%, las Contribuciones Efectivas el 6,56%, los Aportes Sobre la Nómina el 9.82% y los Impuestos Tasas y Contribuciones el 27.13%, comparados con las cifras reflejadas en el 2014.</w:t>
      </w:r>
    </w:p>
    <w:p w:rsidR="001E67BD" w:rsidRDefault="001E67BD" w:rsidP="001E67BD">
      <w:pPr>
        <w:spacing w:before="0" w:after="0" w:line="228" w:lineRule="auto"/>
        <w:jc w:val="both"/>
        <w:rPr>
          <w:rFonts w:ascii="Tahoma" w:hAnsi="Tahoma" w:cs="Tahoma"/>
        </w:rPr>
      </w:pPr>
    </w:p>
    <w:p w:rsidR="001E67BD" w:rsidRDefault="003B70A9" w:rsidP="001E67BD">
      <w:pPr>
        <w:spacing w:before="0" w:after="0" w:line="228" w:lineRule="auto"/>
        <w:jc w:val="both"/>
        <w:rPr>
          <w:rFonts w:ascii="Tahoma" w:hAnsi="Tahoma" w:cs="Tahoma"/>
        </w:rPr>
      </w:pPr>
      <w:r>
        <w:rPr>
          <w:rFonts w:ascii="Tahoma" w:hAnsi="Tahoma" w:cs="Tahoma"/>
          <w:noProof/>
        </w:rPr>
        <w:drawing>
          <wp:inline distT="0" distB="0" distL="0" distR="0" wp14:anchorId="2681762B">
            <wp:extent cx="5342574" cy="3038475"/>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0" cy="3040821"/>
                    </a:xfrm>
                    <a:prstGeom prst="rect">
                      <a:avLst/>
                    </a:prstGeom>
                    <a:noFill/>
                  </pic:spPr>
                </pic:pic>
              </a:graphicData>
            </a:graphic>
          </wp:inline>
        </w:drawing>
      </w:r>
    </w:p>
    <w:p w:rsidR="003B70A9" w:rsidRDefault="003B70A9" w:rsidP="001E67BD">
      <w:pPr>
        <w:spacing w:before="0" w:after="0" w:line="228" w:lineRule="auto"/>
        <w:jc w:val="both"/>
        <w:rPr>
          <w:rFonts w:ascii="Tahoma" w:hAnsi="Tahoma" w:cs="Tahoma"/>
        </w:rPr>
      </w:pPr>
    </w:p>
    <w:p w:rsidR="003B70A9" w:rsidRDefault="003B70A9" w:rsidP="001E67BD">
      <w:pPr>
        <w:spacing w:before="0" w:after="0" w:line="228" w:lineRule="auto"/>
        <w:jc w:val="both"/>
        <w:rPr>
          <w:rFonts w:ascii="Tahoma" w:hAnsi="Tahoma" w:cs="Tahoma"/>
        </w:rPr>
      </w:pPr>
    </w:p>
    <w:p w:rsidR="001E67BD" w:rsidRPr="00AD4CE9" w:rsidRDefault="001E67BD" w:rsidP="001E67BD">
      <w:pPr>
        <w:pStyle w:val="Prrafodelista"/>
        <w:numPr>
          <w:ilvl w:val="0"/>
          <w:numId w:val="2"/>
        </w:numPr>
        <w:spacing w:before="0" w:after="0" w:line="19" w:lineRule="atLeast"/>
        <w:rPr>
          <w:rFonts w:ascii="Tahoma" w:hAnsi="Tahoma" w:cs="Tahoma"/>
          <w:b/>
        </w:rPr>
      </w:pPr>
      <w:r w:rsidRPr="00AD4CE9">
        <w:rPr>
          <w:rFonts w:ascii="Tahoma" w:hAnsi="Tahoma" w:cs="Tahoma"/>
          <w:b/>
        </w:rPr>
        <w:t>APLICACIÓN DE INDICADORES FINANCIEROS</w:t>
      </w:r>
    </w:p>
    <w:p w:rsidR="001E67BD" w:rsidRPr="00AD4CE9" w:rsidRDefault="001E67BD" w:rsidP="001E67BD">
      <w:pPr>
        <w:spacing w:before="0" w:after="0" w:line="19" w:lineRule="atLeast"/>
        <w:rPr>
          <w:rFonts w:ascii="Tahoma" w:hAnsi="Tahoma" w:cs="Tahoma"/>
        </w:rPr>
      </w:pPr>
    </w:p>
    <w:p w:rsidR="001E67BD" w:rsidRPr="00AD4CE9" w:rsidRDefault="001E67BD" w:rsidP="001E67BD">
      <w:pPr>
        <w:pStyle w:val="Prrafodelista"/>
        <w:numPr>
          <w:ilvl w:val="1"/>
          <w:numId w:val="2"/>
        </w:numPr>
        <w:spacing w:before="0" w:after="0" w:line="19" w:lineRule="atLeast"/>
        <w:rPr>
          <w:rFonts w:ascii="Tahoma" w:hAnsi="Tahoma" w:cs="Tahoma"/>
        </w:rPr>
      </w:pPr>
      <w:r w:rsidRPr="00AD4CE9">
        <w:rPr>
          <w:rFonts w:ascii="Tahoma" w:hAnsi="Tahoma" w:cs="Tahoma"/>
        </w:rPr>
        <w:t>Indicadores de liquidez y Solvencia</w:t>
      </w:r>
    </w:p>
    <w:p w:rsidR="001E67BD" w:rsidRPr="00AD4CE9" w:rsidRDefault="001E67BD" w:rsidP="001E67BD">
      <w:pPr>
        <w:spacing w:before="0" w:after="0" w:line="19" w:lineRule="atLeast"/>
        <w:rPr>
          <w:rFonts w:ascii="Tahoma" w:hAnsi="Tahoma" w:cs="Tahoma"/>
        </w:rPr>
      </w:pPr>
    </w:p>
    <w:p w:rsidR="001E67BD" w:rsidRPr="00AD4CE9" w:rsidRDefault="001E67BD" w:rsidP="001E67BD">
      <w:pPr>
        <w:spacing w:before="0" w:after="0" w:line="19" w:lineRule="atLeast"/>
        <w:jc w:val="both"/>
        <w:rPr>
          <w:rFonts w:ascii="Tahoma" w:hAnsi="Tahoma" w:cs="Tahoma"/>
        </w:rPr>
      </w:pPr>
      <w:r w:rsidRPr="00FA64A6">
        <w:rPr>
          <w:rFonts w:ascii="Tahoma" w:hAnsi="Tahoma" w:cs="Tahoma"/>
          <w:b/>
        </w:rPr>
        <w:t>Razón Corriente:</w:t>
      </w:r>
      <w:r w:rsidRPr="00AD4CE9">
        <w:rPr>
          <w:rFonts w:ascii="Tahoma" w:hAnsi="Tahoma" w:cs="Tahoma"/>
        </w:rPr>
        <w:t xml:space="preserve"> nos muestra la capacidad que tiene la entidad para cubrir sus deudas en el corto plazo, ya que indica por cada peso que se debe, con cuantos se cuenta para respaldarlo.</w:t>
      </w:r>
    </w:p>
    <w:p w:rsidR="001E67BD" w:rsidRPr="00AD4CE9" w:rsidRDefault="001E67BD" w:rsidP="001E67BD">
      <w:pPr>
        <w:spacing w:before="0" w:after="0" w:line="19" w:lineRule="atLeast"/>
        <w:jc w:val="both"/>
        <w:rPr>
          <w:rFonts w:ascii="Tahoma" w:hAnsi="Tahoma" w:cs="Tahoma"/>
        </w:rPr>
      </w:pPr>
    </w:p>
    <w:tbl>
      <w:tblPr>
        <w:tblW w:w="7420" w:type="dxa"/>
        <w:tblInd w:w="70" w:type="dxa"/>
        <w:tblCellMar>
          <w:left w:w="70" w:type="dxa"/>
          <w:right w:w="70" w:type="dxa"/>
        </w:tblCellMar>
        <w:tblLook w:val="04A0" w:firstRow="1" w:lastRow="0" w:firstColumn="1" w:lastColumn="0" w:noHBand="0" w:noVBand="1"/>
      </w:tblPr>
      <w:tblGrid>
        <w:gridCol w:w="5580"/>
        <w:gridCol w:w="1840"/>
      </w:tblGrid>
      <w:tr w:rsidR="001E67BD" w:rsidRPr="00FA64A6" w:rsidTr="00A012F0">
        <w:trPr>
          <w:trHeight w:val="276"/>
        </w:trPr>
        <w:tc>
          <w:tcPr>
            <w:tcW w:w="5580" w:type="dxa"/>
            <w:tcBorders>
              <w:top w:val="nil"/>
              <w:left w:val="nil"/>
              <w:bottom w:val="nil"/>
              <w:right w:val="nil"/>
            </w:tcBorders>
            <w:shd w:val="clear" w:color="auto" w:fill="auto"/>
            <w:noWrap/>
            <w:vAlign w:val="center"/>
            <w:hideMark/>
          </w:tcPr>
          <w:p w:rsidR="001E67BD" w:rsidRPr="00FA64A6" w:rsidRDefault="001E67BD" w:rsidP="00A012F0">
            <w:pPr>
              <w:spacing w:before="0" w:after="0"/>
              <w:jc w:val="both"/>
              <w:rPr>
                <w:rFonts w:ascii="Tahoma" w:eastAsia="Times New Roman" w:hAnsi="Tahoma" w:cs="Tahoma"/>
              </w:rPr>
            </w:pPr>
            <w:r w:rsidRPr="00FA64A6">
              <w:rPr>
                <w:rFonts w:ascii="Tahoma" w:eastAsia="Times New Roman" w:hAnsi="Tahoma" w:cs="Tahoma"/>
              </w:rPr>
              <w:t>Formula: Activo Corriente / Pasivo Corriente</w:t>
            </w:r>
          </w:p>
        </w:tc>
        <w:tc>
          <w:tcPr>
            <w:tcW w:w="1840" w:type="dxa"/>
            <w:tcBorders>
              <w:top w:val="nil"/>
              <w:left w:val="nil"/>
              <w:bottom w:val="nil"/>
              <w:right w:val="nil"/>
            </w:tcBorders>
            <w:shd w:val="clear" w:color="auto" w:fill="auto"/>
            <w:noWrap/>
            <w:vAlign w:val="bottom"/>
            <w:hideMark/>
          </w:tcPr>
          <w:p w:rsidR="001E67BD" w:rsidRPr="00FA64A6" w:rsidRDefault="001E67BD" w:rsidP="00A012F0">
            <w:pPr>
              <w:spacing w:before="0" w:after="0"/>
              <w:jc w:val="both"/>
              <w:rPr>
                <w:rFonts w:ascii="Tahoma" w:eastAsia="Times New Roman" w:hAnsi="Tahoma" w:cs="Tahoma"/>
              </w:rPr>
            </w:pPr>
          </w:p>
        </w:tc>
      </w:tr>
      <w:tr w:rsidR="001E67BD" w:rsidRPr="00FA64A6" w:rsidTr="00A012F0">
        <w:trPr>
          <w:trHeight w:val="264"/>
        </w:trPr>
        <w:tc>
          <w:tcPr>
            <w:tcW w:w="5580" w:type="dxa"/>
            <w:tcBorders>
              <w:top w:val="nil"/>
              <w:left w:val="nil"/>
              <w:bottom w:val="nil"/>
              <w:right w:val="nil"/>
            </w:tcBorders>
            <w:shd w:val="clear" w:color="auto" w:fill="auto"/>
            <w:noWrap/>
            <w:vAlign w:val="center"/>
            <w:hideMark/>
          </w:tcPr>
          <w:p w:rsidR="001E67BD" w:rsidRPr="00FA64A6" w:rsidRDefault="001E67BD" w:rsidP="00A012F0">
            <w:pPr>
              <w:spacing w:before="0" w:after="0"/>
              <w:rPr>
                <w:rFonts w:ascii="Times New Roman" w:eastAsia="Times New Roman" w:hAnsi="Times New Roman" w:cs="Times New Roman"/>
                <w:color w:val="auto"/>
                <w:sz w:val="20"/>
                <w:szCs w:val="20"/>
              </w:rPr>
            </w:pPr>
          </w:p>
        </w:tc>
        <w:tc>
          <w:tcPr>
            <w:tcW w:w="1840" w:type="dxa"/>
            <w:tcBorders>
              <w:top w:val="nil"/>
              <w:left w:val="nil"/>
              <w:bottom w:val="nil"/>
              <w:right w:val="nil"/>
            </w:tcBorders>
            <w:shd w:val="clear" w:color="auto" w:fill="auto"/>
            <w:noWrap/>
            <w:vAlign w:val="bottom"/>
            <w:hideMark/>
          </w:tcPr>
          <w:p w:rsidR="001E67BD" w:rsidRPr="00FA64A6" w:rsidRDefault="001E67BD" w:rsidP="00A012F0">
            <w:pPr>
              <w:spacing w:before="0" w:after="0"/>
              <w:jc w:val="both"/>
              <w:rPr>
                <w:rFonts w:ascii="Times New Roman" w:eastAsia="Times New Roman" w:hAnsi="Times New Roman" w:cs="Times New Roman"/>
                <w:color w:val="auto"/>
                <w:sz w:val="20"/>
                <w:szCs w:val="20"/>
              </w:rPr>
            </w:pPr>
          </w:p>
        </w:tc>
      </w:tr>
      <w:tr w:rsidR="001E67BD" w:rsidRPr="00FA64A6" w:rsidTr="00A012F0">
        <w:trPr>
          <w:trHeight w:val="276"/>
        </w:trPr>
        <w:tc>
          <w:tcPr>
            <w:tcW w:w="5580" w:type="dxa"/>
            <w:tcBorders>
              <w:top w:val="nil"/>
              <w:left w:val="nil"/>
              <w:bottom w:val="nil"/>
              <w:right w:val="nil"/>
            </w:tcBorders>
            <w:shd w:val="clear" w:color="auto" w:fill="auto"/>
            <w:noWrap/>
            <w:vAlign w:val="center"/>
            <w:hideMark/>
          </w:tcPr>
          <w:p w:rsidR="001E67BD" w:rsidRPr="00FA64A6" w:rsidRDefault="001E67BD" w:rsidP="00A012F0">
            <w:pPr>
              <w:spacing w:before="0" w:after="0"/>
              <w:jc w:val="both"/>
              <w:rPr>
                <w:rFonts w:ascii="Tahoma" w:eastAsia="Times New Roman" w:hAnsi="Tahoma" w:cs="Tahoma"/>
              </w:rPr>
            </w:pPr>
            <w:r w:rsidRPr="00FA64A6">
              <w:rPr>
                <w:rFonts w:ascii="Tahoma" w:eastAsia="Times New Roman" w:hAnsi="Tahoma" w:cs="Tahoma"/>
              </w:rPr>
              <w:t>Activo Corriente:</w:t>
            </w:r>
          </w:p>
        </w:tc>
        <w:tc>
          <w:tcPr>
            <w:tcW w:w="1840" w:type="dxa"/>
            <w:tcBorders>
              <w:top w:val="nil"/>
              <w:left w:val="nil"/>
              <w:bottom w:val="nil"/>
              <w:right w:val="nil"/>
            </w:tcBorders>
            <w:shd w:val="clear" w:color="auto" w:fill="auto"/>
            <w:noWrap/>
            <w:vAlign w:val="bottom"/>
            <w:hideMark/>
          </w:tcPr>
          <w:p w:rsidR="001E67BD" w:rsidRPr="00FA64A6" w:rsidRDefault="001E67BD" w:rsidP="00A012F0">
            <w:pPr>
              <w:spacing w:before="0" w:after="0"/>
              <w:jc w:val="both"/>
              <w:rPr>
                <w:rFonts w:ascii="Tahoma" w:eastAsia="Times New Roman" w:hAnsi="Tahoma" w:cs="Tahoma"/>
              </w:rPr>
            </w:pPr>
          </w:p>
        </w:tc>
      </w:tr>
      <w:tr w:rsidR="001E67BD" w:rsidRPr="00FA64A6" w:rsidTr="00A012F0">
        <w:trPr>
          <w:trHeight w:val="276"/>
        </w:trPr>
        <w:tc>
          <w:tcPr>
            <w:tcW w:w="5580" w:type="dxa"/>
            <w:tcBorders>
              <w:top w:val="nil"/>
              <w:left w:val="nil"/>
              <w:bottom w:val="nil"/>
              <w:right w:val="nil"/>
            </w:tcBorders>
            <w:shd w:val="clear" w:color="auto" w:fill="auto"/>
            <w:noWrap/>
            <w:vAlign w:val="center"/>
            <w:hideMark/>
          </w:tcPr>
          <w:p w:rsidR="001E67BD" w:rsidRPr="00FA64A6" w:rsidRDefault="001E67BD" w:rsidP="00A012F0">
            <w:pPr>
              <w:spacing w:before="0" w:after="0"/>
              <w:jc w:val="both"/>
              <w:rPr>
                <w:rFonts w:ascii="Tahoma" w:eastAsia="Times New Roman" w:hAnsi="Tahoma" w:cs="Tahoma"/>
              </w:rPr>
            </w:pPr>
            <w:r w:rsidRPr="00FA64A6">
              <w:rPr>
                <w:rFonts w:ascii="Tahoma" w:eastAsia="Times New Roman" w:hAnsi="Tahoma" w:cs="Tahoma"/>
              </w:rPr>
              <w:t>Efectivo</w:t>
            </w:r>
          </w:p>
        </w:tc>
        <w:tc>
          <w:tcPr>
            <w:tcW w:w="1840" w:type="dxa"/>
            <w:tcBorders>
              <w:top w:val="nil"/>
              <w:left w:val="nil"/>
              <w:bottom w:val="nil"/>
              <w:right w:val="nil"/>
            </w:tcBorders>
            <w:shd w:val="clear" w:color="auto" w:fill="auto"/>
            <w:noWrap/>
            <w:vAlign w:val="center"/>
            <w:hideMark/>
          </w:tcPr>
          <w:p w:rsidR="001E67BD" w:rsidRPr="00FA64A6" w:rsidRDefault="001E67BD" w:rsidP="00A012F0">
            <w:pPr>
              <w:spacing w:before="0" w:after="0"/>
              <w:jc w:val="right"/>
              <w:rPr>
                <w:rFonts w:ascii="Tahoma" w:eastAsia="Times New Roman" w:hAnsi="Tahoma" w:cs="Tahoma"/>
              </w:rPr>
            </w:pPr>
            <w:r w:rsidRPr="00FA64A6">
              <w:rPr>
                <w:rFonts w:ascii="Tahoma" w:eastAsia="Times New Roman" w:hAnsi="Tahoma" w:cs="Tahoma"/>
              </w:rPr>
              <w:t>$5</w:t>
            </w:r>
            <w:r>
              <w:rPr>
                <w:rFonts w:ascii="Tahoma" w:eastAsia="Times New Roman" w:hAnsi="Tahoma" w:cs="Tahoma"/>
              </w:rPr>
              <w:t>7.101.388</w:t>
            </w:r>
            <w:r w:rsidRPr="00FA64A6">
              <w:rPr>
                <w:rFonts w:ascii="Tahoma" w:eastAsia="Times New Roman" w:hAnsi="Tahoma" w:cs="Tahoma"/>
              </w:rPr>
              <w:t>.</w:t>
            </w:r>
          </w:p>
        </w:tc>
      </w:tr>
      <w:tr w:rsidR="001E67BD" w:rsidRPr="00FA64A6" w:rsidTr="00A012F0">
        <w:trPr>
          <w:trHeight w:val="276"/>
        </w:trPr>
        <w:tc>
          <w:tcPr>
            <w:tcW w:w="5580" w:type="dxa"/>
            <w:tcBorders>
              <w:top w:val="nil"/>
              <w:left w:val="nil"/>
              <w:bottom w:val="nil"/>
              <w:right w:val="nil"/>
            </w:tcBorders>
            <w:shd w:val="clear" w:color="auto" w:fill="auto"/>
            <w:noWrap/>
            <w:vAlign w:val="center"/>
            <w:hideMark/>
          </w:tcPr>
          <w:p w:rsidR="001E67BD" w:rsidRPr="00FA64A6" w:rsidRDefault="001E67BD" w:rsidP="00A012F0">
            <w:pPr>
              <w:spacing w:before="0" w:after="0"/>
              <w:jc w:val="both"/>
              <w:rPr>
                <w:rFonts w:ascii="Tahoma" w:eastAsia="Times New Roman" w:hAnsi="Tahoma" w:cs="Tahoma"/>
              </w:rPr>
            </w:pPr>
            <w:r>
              <w:rPr>
                <w:rFonts w:ascii="Tahoma" w:eastAsia="Times New Roman" w:hAnsi="Tahoma" w:cs="Tahoma"/>
              </w:rPr>
              <w:t xml:space="preserve">Inversiones e Instrumentos Derivados </w:t>
            </w:r>
          </w:p>
        </w:tc>
        <w:tc>
          <w:tcPr>
            <w:tcW w:w="1840" w:type="dxa"/>
            <w:tcBorders>
              <w:top w:val="nil"/>
              <w:left w:val="nil"/>
              <w:bottom w:val="nil"/>
              <w:right w:val="nil"/>
            </w:tcBorders>
            <w:shd w:val="clear" w:color="auto" w:fill="auto"/>
            <w:noWrap/>
            <w:vAlign w:val="center"/>
            <w:hideMark/>
          </w:tcPr>
          <w:p w:rsidR="001E67BD" w:rsidRPr="00FA64A6" w:rsidRDefault="001E67BD" w:rsidP="00A012F0">
            <w:pPr>
              <w:spacing w:before="0" w:after="0"/>
              <w:jc w:val="right"/>
              <w:rPr>
                <w:rFonts w:ascii="Tahoma" w:eastAsia="Times New Roman" w:hAnsi="Tahoma" w:cs="Tahoma"/>
              </w:rPr>
            </w:pPr>
            <w:r w:rsidRPr="00FA64A6">
              <w:rPr>
                <w:rFonts w:ascii="Tahoma" w:eastAsia="Times New Roman" w:hAnsi="Tahoma" w:cs="Tahoma"/>
              </w:rPr>
              <w:t>$</w:t>
            </w:r>
            <w:r>
              <w:rPr>
                <w:rFonts w:ascii="Tahoma" w:eastAsia="Times New Roman" w:hAnsi="Tahoma" w:cs="Tahoma"/>
              </w:rPr>
              <w:t>646.015</w:t>
            </w:r>
            <w:r w:rsidRPr="00FA64A6">
              <w:rPr>
                <w:rFonts w:ascii="Tahoma" w:eastAsia="Times New Roman" w:hAnsi="Tahoma" w:cs="Tahoma"/>
              </w:rPr>
              <w:t>.</w:t>
            </w:r>
          </w:p>
        </w:tc>
      </w:tr>
      <w:tr w:rsidR="001E67BD" w:rsidRPr="00FA64A6" w:rsidTr="00A012F0">
        <w:trPr>
          <w:trHeight w:val="276"/>
        </w:trPr>
        <w:tc>
          <w:tcPr>
            <w:tcW w:w="5580" w:type="dxa"/>
            <w:tcBorders>
              <w:top w:val="nil"/>
              <w:left w:val="nil"/>
              <w:bottom w:val="nil"/>
              <w:right w:val="nil"/>
            </w:tcBorders>
            <w:shd w:val="clear" w:color="auto" w:fill="auto"/>
            <w:noWrap/>
            <w:vAlign w:val="center"/>
            <w:hideMark/>
          </w:tcPr>
          <w:p w:rsidR="001E67BD" w:rsidRPr="00FA64A6" w:rsidRDefault="001E67BD" w:rsidP="00A012F0">
            <w:pPr>
              <w:spacing w:before="0" w:after="0"/>
              <w:jc w:val="both"/>
              <w:rPr>
                <w:rFonts w:ascii="Tahoma" w:eastAsia="Times New Roman" w:hAnsi="Tahoma" w:cs="Tahoma"/>
              </w:rPr>
            </w:pPr>
            <w:r w:rsidRPr="00FA64A6">
              <w:rPr>
                <w:rFonts w:ascii="Tahoma" w:eastAsia="Times New Roman" w:hAnsi="Tahoma" w:cs="Tahoma"/>
              </w:rPr>
              <w:t>Deudores</w:t>
            </w:r>
          </w:p>
        </w:tc>
        <w:tc>
          <w:tcPr>
            <w:tcW w:w="1840" w:type="dxa"/>
            <w:tcBorders>
              <w:top w:val="nil"/>
              <w:left w:val="nil"/>
              <w:bottom w:val="nil"/>
              <w:right w:val="nil"/>
            </w:tcBorders>
            <w:shd w:val="clear" w:color="auto" w:fill="auto"/>
            <w:noWrap/>
            <w:vAlign w:val="center"/>
            <w:hideMark/>
          </w:tcPr>
          <w:p w:rsidR="001E67BD" w:rsidRPr="00FA64A6" w:rsidRDefault="001E67BD" w:rsidP="00A012F0">
            <w:pPr>
              <w:spacing w:before="0" w:after="0"/>
              <w:jc w:val="right"/>
              <w:rPr>
                <w:rFonts w:ascii="Tahoma" w:eastAsia="Times New Roman" w:hAnsi="Tahoma" w:cs="Tahoma"/>
              </w:rPr>
            </w:pPr>
            <w:r w:rsidRPr="00FA64A6">
              <w:rPr>
                <w:rFonts w:ascii="Tahoma" w:eastAsia="Times New Roman" w:hAnsi="Tahoma" w:cs="Tahoma"/>
              </w:rPr>
              <w:t>$9</w:t>
            </w:r>
            <w:r>
              <w:rPr>
                <w:rFonts w:ascii="Tahoma" w:eastAsia="Times New Roman" w:hAnsi="Tahoma" w:cs="Tahoma"/>
              </w:rPr>
              <w:t>.075.691</w:t>
            </w:r>
            <w:r w:rsidRPr="00FA64A6">
              <w:rPr>
                <w:rFonts w:ascii="Tahoma" w:eastAsia="Times New Roman" w:hAnsi="Tahoma" w:cs="Tahoma"/>
              </w:rPr>
              <w:t>.</w:t>
            </w:r>
          </w:p>
        </w:tc>
      </w:tr>
      <w:tr w:rsidR="001E67BD" w:rsidRPr="00FA64A6" w:rsidTr="00A012F0">
        <w:trPr>
          <w:trHeight w:val="276"/>
        </w:trPr>
        <w:tc>
          <w:tcPr>
            <w:tcW w:w="5580" w:type="dxa"/>
            <w:tcBorders>
              <w:top w:val="nil"/>
              <w:left w:val="nil"/>
              <w:bottom w:val="nil"/>
              <w:right w:val="nil"/>
            </w:tcBorders>
            <w:shd w:val="clear" w:color="auto" w:fill="auto"/>
            <w:noWrap/>
            <w:vAlign w:val="bottom"/>
            <w:hideMark/>
          </w:tcPr>
          <w:p w:rsidR="001E67BD" w:rsidRPr="00FA64A6" w:rsidRDefault="001E67BD" w:rsidP="00A012F0">
            <w:pPr>
              <w:spacing w:before="0" w:after="0"/>
              <w:rPr>
                <w:rFonts w:ascii="Tahoma" w:eastAsia="Times New Roman" w:hAnsi="Tahoma" w:cs="Tahoma"/>
              </w:rPr>
            </w:pPr>
            <w:r>
              <w:rPr>
                <w:rFonts w:ascii="Tahoma" w:eastAsia="Times New Roman" w:hAnsi="Tahoma" w:cs="Tahoma"/>
              </w:rPr>
              <w:t>Inventarios</w:t>
            </w:r>
          </w:p>
        </w:tc>
        <w:tc>
          <w:tcPr>
            <w:tcW w:w="1840" w:type="dxa"/>
            <w:tcBorders>
              <w:top w:val="nil"/>
              <w:left w:val="nil"/>
              <w:bottom w:val="nil"/>
              <w:right w:val="nil"/>
            </w:tcBorders>
            <w:shd w:val="clear" w:color="auto" w:fill="auto"/>
            <w:noWrap/>
            <w:vAlign w:val="bottom"/>
            <w:hideMark/>
          </w:tcPr>
          <w:p w:rsidR="001E67BD" w:rsidRPr="0042033D" w:rsidRDefault="001E67BD" w:rsidP="00A012F0">
            <w:pPr>
              <w:spacing w:before="0" w:after="0"/>
              <w:jc w:val="right"/>
              <w:rPr>
                <w:rFonts w:ascii="Tahoma" w:eastAsia="Times New Roman" w:hAnsi="Tahoma" w:cs="Tahoma"/>
                <w:bCs/>
                <w:color w:val="auto"/>
              </w:rPr>
            </w:pPr>
            <w:r w:rsidRPr="0042033D">
              <w:rPr>
                <w:rFonts w:ascii="Tahoma" w:eastAsia="Times New Roman" w:hAnsi="Tahoma" w:cs="Tahoma"/>
                <w:bCs/>
                <w:color w:val="auto"/>
              </w:rPr>
              <w:t xml:space="preserve">$64.344 </w:t>
            </w:r>
          </w:p>
        </w:tc>
      </w:tr>
      <w:tr w:rsidR="001E67BD" w:rsidRPr="00FA64A6" w:rsidTr="00A012F0">
        <w:trPr>
          <w:trHeight w:val="276"/>
        </w:trPr>
        <w:tc>
          <w:tcPr>
            <w:tcW w:w="5580" w:type="dxa"/>
            <w:tcBorders>
              <w:top w:val="nil"/>
              <w:left w:val="nil"/>
              <w:bottom w:val="nil"/>
              <w:right w:val="nil"/>
            </w:tcBorders>
            <w:shd w:val="clear" w:color="auto" w:fill="auto"/>
            <w:noWrap/>
            <w:vAlign w:val="bottom"/>
          </w:tcPr>
          <w:p w:rsidR="001E67BD" w:rsidRDefault="00FF3D5F" w:rsidP="00A012F0">
            <w:pPr>
              <w:spacing w:before="0" w:after="0"/>
              <w:rPr>
                <w:rFonts w:ascii="Tahoma" w:eastAsia="Times New Roman" w:hAnsi="Tahoma" w:cs="Tahoma"/>
              </w:rPr>
            </w:pPr>
            <w:r>
              <w:rPr>
                <w:rFonts w:ascii="Tahoma" w:eastAsia="Times New Roman" w:hAnsi="Tahoma" w:cs="Tahoma"/>
              </w:rPr>
              <w:t>Total Activo Corriente</w:t>
            </w:r>
          </w:p>
        </w:tc>
        <w:tc>
          <w:tcPr>
            <w:tcW w:w="1840" w:type="dxa"/>
            <w:tcBorders>
              <w:top w:val="nil"/>
              <w:left w:val="nil"/>
              <w:bottom w:val="nil"/>
              <w:right w:val="nil"/>
            </w:tcBorders>
            <w:shd w:val="clear" w:color="auto" w:fill="auto"/>
            <w:noWrap/>
            <w:vAlign w:val="bottom"/>
          </w:tcPr>
          <w:p w:rsidR="001E67BD" w:rsidRPr="00436972" w:rsidRDefault="001E67BD" w:rsidP="00A012F0">
            <w:pPr>
              <w:spacing w:before="0" w:after="0"/>
              <w:jc w:val="right"/>
              <w:rPr>
                <w:rFonts w:ascii="Tahoma" w:eastAsia="Times New Roman" w:hAnsi="Tahoma" w:cs="Tahoma"/>
                <w:bCs/>
                <w:color w:val="auto"/>
              </w:rPr>
            </w:pPr>
            <w:r w:rsidRPr="00436972">
              <w:rPr>
                <w:rFonts w:ascii="Tahoma" w:eastAsia="Times New Roman" w:hAnsi="Tahoma" w:cs="Tahoma"/>
                <w:bCs/>
                <w:color w:val="auto"/>
              </w:rPr>
              <w:t>$66</w:t>
            </w:r>
            <w:r>
              <w:rPr>
                <w:rFonts w:ascii="Tahoma" w:eastAsia="Times New Roman" w:hAnsi="Tahoma" w:cs="Tahoma"/>
                <w:bCs/>
                <w:color w:val="auto"/>
              </w:rPr>
              <w:t>.</w:t>
            </w:r>
            <w:r w:rsidRPr="00436972">
              <w:rPr>
                <w:rFonts w:ascii="Tahoma" w:eastAsia="Times New Roman" w:hAnsi="Tahoma" w:cs="Tahoma"/>
                <w:bCs/>
                <w:color w:val="auto"/>
              </w:rPr>
              <w:t>887</w:t>
            </w:r>
            <w:r>
              <w:rPr>
                <w:rFonts w:ascii="Tahoma" w:eastAsia="Times New Roman" w:hAnsi="Tahoma" w:cs="Tahoma"/>
                <w:bCs/>
                <w:color w:val="auto"/>
              </w:rPr>
              <w:t>.</w:t>
            </w:r>
            <w:r w:rsidRPr="00436972">
              <w:rPr>
                <w:rFonts w:ascii="Tahoma" w:eastAsia="Times New Roman" w:hAnsi="Tahoma" w:cs="Tahoma"/>
                <w:bCs/>
                <w:color w:val="auto"/>
              </w:rPr>
              <w:t>438</w:t>
            </w:r>
          </w:p>
        </w:tc>
      </w:tr>
    </w:tbl>
    <w:p w:rsidR="001E67BD" w:rsidRDefault="001E67BD" w:rsidP="001E67BD">
      <w:pPr>
        <w:spacing w:before="0" w:after="0" w:line="19" w:lineRule="atLeast"/>
        <w:rPr>
          <w:rFonts w:ascii="Tahoma" w:hAnsi="Tahoma" w:cs="Tahoma"/>
        </w:rPr>
      </w:pPr>
    </w:p>
    <w:p w:rsidR="001E67BD" w:rsidRPr="00AD4CE9" w:rsidRDefault="001E67BD" w:rsidP="001E67BD">
      <w:pPr>
        <w:spacing w:before="0" w:after="0" w:line="19" w:lineRule="atLeast"/>
        <w:rPr>
          <w:rFonts w:ascii="Tahoma" w:hAnsi="Tahoma" w:cs="Tahoma"/>
        </w:rPr>
      </w:pPr>
    </w:p>
    <w:tbl>
      <w:tblPr>
        <w:tblW w:w="7420" w:type="dxa"/>
        <w:tblInd w:w="70" w:type="dxa"/>
        <w:tblCellMar>
          <w:left w:w="70" w:type="dxa"/>
          <w:right w:w="70" w:type="dxa"/>
        </w:tblCellMar>
        <w:tblLook w:val="04A0" w:firstRow="1" w:lastRow="0" w:firstColumn="1" w:lastColumn="0" w:noHBand="0" w:noVBand="1"/>
      </w:tblPr>
      <w:tblGrid>
        <w:gridCol w:w="5580"/>
        <w:gridCol w:w="1840"/>
      </w:tblGrid>
      <w:tr w:rsidR="001E67BD" w:rsidRPr="00172819" w:rsidTr="00A012F0">
        <w:trPr>
          <w:trHeight w:val="276"/>
        </w:trPr>
        <w:tc>
          <w:tcPr>
            <w:tcW w:w="5580" w:type="dxa"/>
            <w:tcBorders>
              <w:top w:val="nil"/>
              <w:left w:val="nil"/>
              <w:bottom w:val="nil"/>
              <w:right w:val="nil"/>
            </w:tcBorders>
            <w:shd w:val="clear" w:color="auto" w:fill="auto"/>
            <w:noWrap/>
            <w:vAlign w:val="center"/>
            <w:hideMark/>
          </w:tcPr>
          <w:p w:rsidR="001E67BD" w:rsidRPr="00172819" w:rsidRDefault="001E67BD" w:rsidP="00A012F0">
            <w:pPr>
              <w:spacing w:before="0" w:after="0"/>
              <w:rPr>
                <w:rFonts w:ascii="Tahoma" w:eastAsia="Times New Roman" w:hAnsi="Tahoma" w:cs="Tahoma"/>
              </w:rPr>
            </w:pPr>
            <w:r w:rsidRPr="00172819">
              <w:rPr>
                <w:rFonts w:ascii="Tahoma" w:eastAsia="Times New Roman" w:hAnsi="Tahoma" w:cs="Tahoma"/>
              </w:rPr>
              <w:t>Pasivo Corriente:</w:t>
            </w:r>
          </w:p>
        </w:tc>
        <w:tc>
          <w:tcPr>
            <w:tcW w:w="1840" w:type="dxa"/>
            <w:tcBorders>
              <w:top w:val="nil"/>
              <w:left w:val="nil"/>
              <w:bottom w:val="nil"/>
              <w:right w:val="nil"/>
            </w:tcBorders>
            <w:shd w:val="clear" w:color="auto" w:fill="auto"/>
            <w:noWrap/>
            <w:vAlign w:val="bottom"/>
            <w:hideMark/>
          </w:tcPr>
          <w:p w:rsidR="001E67BD" w:rsidRPr="00172819" w:rsidRDefault="001E67BD" w:rsidP="00A012F0">
            <w:pPr>
              <w:spacing w:before="0" w:after="0"/>
              <w:rPr>
                <w:rFonts w:ascii="Tahoma" w:eastAsia="Times New Roman" w:hAnsi="Tahoma" w:cs="Tahoma"/>
              </w:rPr>
            </w:pPr>
          </w:p>
        </w:tc>
      </w:tr>
      <w:tr w:rsidR="001E67BD" w:rsidRPr="00172819" w:rsidTr="00A012F0">
        <w:trPr>
          <w:trHeight w:val="264"/>
        </w:trPr>
        <w:tc>
          <w:tcPr>
            <w:tcW w:w="5580" w:type="dxa"/>
            <w:tcBorders>
              <w:top w:val="nil"/>
              <w:left w:val="nil"/>
              <w:bottom w:val="nil"/>
              <w:right w:val="nil"/>
            </w:tcBorders>
            <w:shd w:val="clear" w:color="auto" w:fill="auto"/>
            <w:noWrap/>
            <w:vAlign w:val="center"/>
            <w:hideMark/>
          </w:tcPr>
          <w:p w:rsidR="001E67BD" w:rsidRPr="00172819" w:rsidRDefault="001E67BD" w:rsidP="00A012F0">
            <w:pPr>
              <w:spacing w:before="0" w:after="0"/>
              <w:rPr>
                <w:rFonts w:ascii="Times New Roman" w:eastAsia="Times New Roman" w:hAnsi="Times New Roman" w:cs="Times New Roman"/>
                <w:color w:val="auto"/>
                <w:sz w:val="20"/>
                <w:szCs w:val="20"/>
              </w:rPr>
            </w:pPr>
          </w:p>
        </w:tc>
        <w:tc>
          <w:tcPr>
            <w:tcW w:w="1840" w:type="dxa"/>
            <w:tcBorders>
              <w:top w:val="nil"/>
              <w:left w:val="nil"/>
              <w:bottom w:val="nil"/>
              <w:right w:val="nil"/>
            </w:tcBorders>
            <w:shd w:val="clear" w:color="auto" w:fill="auto"/>
            <w:noWrap/>
            <w:vAlign w:val="bottom"/>
            <w:hideMark/>
          </w:tcPr>
          <w:p w:rsidR="001E67BD" w:rsidRPr="00172819" w:rsidRDefault="001E67BD" w:rsidP="00A012F0">
            <w:pPr>
              <w:spacing w:before="0" w:after="0"/>
              <w:rPr>
                <w:rFonts w:ascii="Times New Roman" w:eastAsia="Times New Roman" w:hAnsi="Times New Roman" w:cs="Times New Roman"/>
                <w:color w:val="auto"/>
                <w:sz w:val="20"/>
                <w:szCs w:val="20"/>
              </w:rPr>
            </w:pPr>
          </w:p>
        </w:tc>
      </w:tr>
      <w:tr w:rsidR="001E67BD" w:rsidRPr="00172819" w:rsidTr="00A012F0">
        <w:trPr>
          <w:trHeight w:val="276"/>
        </w:trPr>
        <w:tc>
          <w:tcPr>
            <w:tcW w:w="5580" w:type="dxa"/>
            <w:tcBorders>
              <w:top w:val="nil"/>
              <w:left w:val="nil"/>
              <w:bottom w:val="nil"/>
              <w:right w:val="nil"/>
            </w:tcBorders>
            <w:shd w:val="clear" w:color="auto" w:fill="auto"/>
            <w:noWrap/>
            <w:vAlign w:val="center"/>
            <w:hideMark/>
          </w:tcPr>
          <w:p w:rsidR="001E67BD" w:rsidRPr="00172819" w:rsidRDefault="001E67BD" w:rsidP="00A012F0">
            <w:pPr>
              <w:spacing w:before="0" w:after="0"/>
              <w:rPr>
                <w:rFonts w:ascii="Tahoma" w:eastAsia="Times New Roman" w:hAnsi="Tahoma" w:cs="Tahoma"/>
              </w:rPr>
            </w:pPr>
            <w:r w:rsidRPr="00172819">
              <w:rPr>
                <w:rFonts w:ascii="Tahoma" w:eastAsia="Times New Roman" w:hAnsi="Tahoma" w:cs="Tahoma"/>
              </w:rPr>
              <w:t>Cuentas por Pagar</w:t>
            </w:r>
          </w:p>
        </w:tc>
        <w:tc>
          <w:tcPr>
            <w:tcW w:w="1840" w:type="dxa"/>
            <w:tcBorders>
              <w:top w:val="nil"/>
              <w:left w:val="nil"/>
              <w:bottom w:val="nil"/>
              <w:right w:val="nil"/>
            </w:tcBorders>
            <w:shd w:val="clear" w:color="auto" w:fill="auto"/>
            <w:noWrap/>
            <w:vAlign w:val="center"/>
            <w:hideMark/>
          </w:tcPr>
          <w:p w:rsidR="001E67BD" w:rsidRPr="00172819" w:rsidRDefault="001E67BD" w:rsidP="00A012F0">
            <w:pPr>
              <w:spacing w:before="0" w:after="0"/>
              <w:jc w:val="right"/>
              <w:rPr>
                <w:rFonts w:ascii="Tahoma" w:eastAsia="Times New Roman" w:hAnsi="Tahoma" w:cs="Tahoma"/>
              </w:rPr>
            </w:pPr>
            <w:r w:rsidRPr="00172819">
              <w:rPr>
                <w:rFonts w:ascii="Tahoma" w:eastAsia="Times New Roman" w:hAnsi="Tahoma" w:cs="Tahoma"/>
              </w:rPr>
              <w:t>3</w:t>
            </w:r>
            <w:r>
              <w:rPr>
                <w:rFonts w:ascii="Tahoma" w:eastAsia="Times New Roman" w:hAnsi="Tahoma" w:cs="Tahoma"/>
              </w:rPr>
              <w:t>8</w:t>
            </w:r>
            <w:r w:rsidRPr="00172819">
              <w:rPr>
                <w:rFonts w:ascii="Tahoma" w:eastAsia="Times New Roman" w:hAnsi="Tahoma" w:cs="Tahoma"/>
              </w:rPr>
              <w:t>.</w:t>
            </w:r>
            <w:r>
              <w:rPr>
                <w:rFonts w:ascii="Tahoma" w:eastAsia="Times New Roman" w:hAnsi="Tahoma" w:cs="Tahoma"/>
              </w:rPr>
              <w:t>603</w:t>
            </w:r>
            <w:r w:rsidRPr="00172819">
              <w:rPr>
                <w:rFonts w:ascii="Tahoma" w:eastAsia="Times New Roman" w:hAnsi="Tahoma" w:cs="Tahoma"/>
              </w:rPr>
              <w:t>.</w:t>
            </w:r>
            <w:r>
              <w:rPr>
                <w:rFonts w:ascii="Tahoma" w:eastAsia="Times New Roman" w:hAnsi="Tahoma" w:cs="Tahoma"/>
              </w:rPr>
              <w:t>094</w:t>
            </w:r>
          </w:p>
        </w:tc>
      </w:tr>
      <w:tr w:rsidR="001E67BD" w:rsidRPr="00172819" w:rsidTr="00A012F0">
        <w:trPr>
          <w:trHeight w:val="288"/>
        </w:trPr>
        <w:tc>
          <w:tcPr>
            <w:tcW w:w="5580" w:type="dxa"/>
            <w:tcBorders>
              <w:top w:val="nil"/>
              <w:left w:val="nil"/>
              <w:bottom w:val="nil"/>
              <w:right w:val="nil"/>
            </w:tcBorders>
            <w:shd w:val="clear" w:color="auto" w:fill="auto"/>
            <w:noWrap/>
            <w:vAlign w:val="center"/>
            <w:hideMark/>
          </w:tcPr>
          <w:p w:rsidR="001E67BD" w:rsidRPr="00172819" w:rsidRDefault="001E67BD" w:rsidP="00A012F0">
            <w:pPr>
              <w:spacing w:before="0" w:after="0"/>
              <w:rPr>
                <w:rFonts w:ascii="Tahoma" w:eastAsia="Times New Roman" w:hAnsi="Tahoma" w:cs="Tahoma"/>
              </w:rPr>
            </w:pPr>
            <w:r w:rsidRPr="00172819">
              <w:rPr>
                <w:rFonts w:ascii="Tahoma" w:eastAsia="Times New Roman" w:hAnsi="Tahoma" w:cs="Tahoma"/>
              </w:rPr>
              <w:t>Obligaciones Laborales</w:t>
            </w:r>
          </w:p>
        </w:tc>
        <w:tc>
          <w:tcPr>
            <w:tcW w:w="1840" w:type="dxa"/>
            <w:tcBorders>
              <w:top w:val="nil"/>
              <w:left w:val="nil"/>
              <w:bottom w:val="nil"/>
              <w:right w:val="nil"/>
            </w:tcBorders>
            <w:shd w:val="clear" w:color="auto" w:fill="auto"/>
            <w:noWrap/>
            <w:vAlign w:val="center"/>
            <w:hideMark/>
          </w:tcPr>
          <w:p w:rsidR="001E67BD" w:rsidRPr="00172819" w:rsidRDefault="001E67BD" w:rsidP="00A012F0">
            <w:pPr>
              <w:spacing w:before="0" w:after="0"/>
              <w:jc w:val="right"/>
              <w:rPr>
                <w:rFonts w:ascii="Tahoma" w:eastAsia="Times New Roman" w:hAnsi="Tahoma" w:cs="Tahoma"/>
              </w:rPr>
            </w:pPr>
            <w:r>
              <w:rPr>
                <w:rFonts w:ascii="Tahoma" w:eastAsia="Times New Roman" w:hAnsi="Tahoma" w:cs="Tahoma"/>
              </w:rPr>
              <w:t>11</w:t>
            </w:r>
            <w:r w:rsidRPr="00172819">
              <w:rPr>
                <w:rFonts w:ascii="Tahoma" w:eastAsia="Times New Roman" w:hAnsi="Tahoma" w:cs="Tahoma"/>
              </w:rPr>
              <w:t>.</w:t>
            </w:r>
            <w:r>
              <w:rPr>
                <w:rFonts w:ascii="Tahoma" w:eastAsia="Times New Roman" w:hAnsi="Tahoma" w:cs="Tahoma"/>
              </w:rPr>
              <w:t>797</w:t>
            </w:r>
            <w:r w:rsidRPr="00172819">
              <w:rPr>
                <w:rFonts w:ascii="Tahoma" w:eastAsia="Times New Roman" w:hAnsi="Tahoma" w:cs="Tahoma"/>
              </w:rPr>
              <w:t>.</w:t>
            </w:r>
            <w:r>
              <w:rPr>
                <w:rFonts w:ascii="Tahoma" w:eastAsia="Times New Roman" w:hAnsi="Tahoma" w:cs="Tahoma"/>
              </w:rPr>
              <w:t>176</w:t>
            </w:r>
          </w:p>
        </w:tc>
      </w:tr>
      <w:tr w:rsidR="001E67BD" w:rsidRPr="00172819" w:rsidTr="00A012F0">
        <w:trPr>
          <w:trHeight w:val="288"/>
        </w:trPr>
        <w:tc>
          <w:tcPr>
            <w:tcW w:w="5580" w:type="dxa"/>
            <w:tcBorders>
              <w:top w:val="nil"/>
              <w:left w:val="nil"/>
              <w:bottom w:val="nil"/>
              <w:right w:val="nil"/>
            </w:tcBorders>
            <w:shd w:val="clear" w:color="auto" w:fill="auto"/>
            <w:noWrap/>
            <w:vAlign w:val="center"/>
            <w:hideMark/>
          </w:tcPr>
          <w:p w:rsidR="001E67BD" w:rsidRPr="00172819" w:rsidRDefault="00FF3D5F" w:rsidP="00A012F0">
            <w:pPr>
              <w:spacing w:before="0" w:after="0"/>
              <w:rPr>
                <w:rFonts w:ascii="Tahoma" w:eastAsia="Times New Roman" w:hAnsi="Tahoma" w:cs="Tahoma"/>
              </w:rPr>
            </w:pPr>
            <w:r>
              <w:rPr>
                <w:rFonts w:ascii="Tahoma" w:eastAsia="Times New Roman" w:hAnsi="Tahoma" w:cs="Tahoma"/>
              </w:rPr>
              <w:t>Total Pasivo Corriente</w:t>
            </w:r>
            <w:bookmarkStart w:id="0" w:name="_GoBack"/>
            <w:bookmarkEnd w:id="0"/>
            <w:r w:rsidR="001E67BD" w:rsidRPr="00172819">
              <w:rPr>
                <w:rFonts w:ascii="Tahoma" w:eastAsia="Times New Roman" w:hAnsi="Tahoma" w:cs="Tahoma"/>
              </w:rPr>
              <w:t xml:space="preserve">    </w:t>
            </w:r>
          </w:p>
        </w:tc>
        <w:tc>
          <w:tcPr>
            <w:tcW w:w="1840" w:type="dxa"/>
            <w:tcBorders>
              <w:top w:val="single" w:sz="12" w:space="0" w:color="auto"/>
              <w:left w:val="nil"/>
              <w:bottom w:val="nil"/>
              <w:right w:val="nil"/>
            </w:tcBorders>
            <w:shd w:val="clear" w:color="auto" w:fill="auto"/>
            <w:noWrap/>
            <w:vAlign w:val="center"/>
            <w:hideMark/>
          </w:tcPr>
          <w:p w:rsidR="001E67BD" w:rsidRPr="00172819" w:rsidRDefault="001E67BD" w:rsidP="00A012F0">
            <w:pPr>
              <w:spacing w:before="0" w:after="0"/>
              <w:jc w:val="right"/>
              <w:rPr>
                <w:rFonts w:ascii="Tahoma" w:eastAsia="Times New Roman" w:hAnsi="Tahoma" w:cs="Tahoma"/>
              </w:rPr>
            </w:pPr>
            <w:r>
              <w:rPr>
                <w:rFonts w:ascii="Tahoma" w:eastAsia="Times New Roman" w:hAnsi="Tahoma" w:cs="Tahoma"/>
              </w:rPr>
              <w:t>50.400.270</w:t>
            </w:r>
          </w:p>
        </w:tc>
      </w:tr>
    </w:tbl>
    <w:p w:rsidR="001E67BD" w:rsidRPr="00AD4CE9" w:rsidRDefault="001E67BD" w:rsidP="001E67BD">
      <w:pPr>
        <w:spacing w:before="0" w:after="0" w:line="19" w:lineRule="atLeast"/>
        <w:rPr>
          <w:rFonts w:ascii="Tahoma" w:hAnsi="Tahoma" w:cs="Tahoma"/>
        </w:rPr>
      </w:pPr>
    </w:p>
    <w:p w:rsidR="001E67BD" w:rsidRPr="00AD4CE9" w:rsidRDefault="001E67BD" w:rsidP="001E67BD">
      <w:pPr>
        <w:spacing w:before="0" w:after="0" w:line="19" w:lineRule="atLeast"/>
        <w:rPr>
          <w:rFonts w:ascii="Tahoma" w:hAnsi="Tahoma" w:cs="Tahoma"/>
        </w:rPr>
      </w:pPr>
    </w:p>
    <w:tbl>
      <w:tblPr>
        <w:tblW w:w="7420" w:type="dxa"/>
        <w:tblInd w:w="70" w:type="dxa"/>
        <w:tblCellMar>
          <w:left w:w="70" w:type="dxa"/>
          <w:right w:w="70" w:type="dxa"/>
        </w:tblCellMar>
        <w:tblLook w:val="04A0" w:firstRow="1" w:lastRow="0" w:firstColumn="1" w:lastColumn="0" w:noHBand="0" w:noVBand="1"/>
      </w:tblPr>
      <w:tblGrid>
        <w:gridCol w:w="5580"/>
        <w:gridCol w:w="1840"/>
      </w:tblGrid>
      <w:tr w:rsidR="001E67BD" w:rsidRPr="00172819" w:rsidTr="00A012F0">
        <w:trPr>
          <w:trHeight w:val="276"/>
        </w:trPr>
        <w:tc>
          <w:tcPr>
            <w:tcW w:w="5580" w:type="dxa"/>
            <w:tcBorders>
              <w:top w:val="nil"/>
              <w:left w:val="nil"/>
              <w:bottom w:val="nil"/>
              <w:right w:val="nil"/>
            </w:tcBorders>
            <w:shd w:val="clear" w:color="auto" w:fill="auto"/>
            <w:noWrap/>
            <w:vAlign w:val="center"/>
            <w:hideMark/>
          </w:tcPr>
          <w:p w:rsidR="001E67BD" w:rsidRPr="00172819" w:rsidRDefault="001E67BD" w:rsidP="00A012F0">
            <w:pPr>
              <w:spacing w:before="0" w:after="0"/>
              <w:rPr>
                <w:rFonts w:ascii="Tahoma" w:eastAsia="Times New Roman" w:hAnsi="Tahoma" w:cs="Tahoma"/>
              </w:rPr>
            </w:pPr>
            <w:r w:rsidRPr="00172819">
              <w:rPr>
                <w:rFonts w:ascii="Tahoma" w:eastAsia="Times New Roman" w:hAnsi="Tahoma" w:cs="Tahoma"/>
              </w:rPr>
              <w:t xml:space="preserve">Razón Corriente  </w:t>
            </w:r>
          </w:p>
        </w:tc>
        <w:tc>
          <w:tcPr>
            <w:tcW w:w="1840" w:type="dxa"/>
            <w:tcBorders>
              <w:top w:val="nil"/>
              <w:left w:val="nil"/>
              <w:bottom w:val="nil"/>
              <w:right w:val="nil"/>
            </w:tcBorders>
            <w:shd w:val="clear" w:color="auto" w:fill="auto"/>
            <w:noWrap/>
            <w:vAlign w:val="bottom"/>
            <w:hideMark/>
          </w:tcPr>
          <w:p w:rsidR="001E67BD" w:rsidRPr="00172819" w:rsidRDefault="001E67BD" w:rsidP="00A012F0">
            <w:pPr>
              <w:spacing w:before="0" w:after="0"/>
              <w:rPr>
                <w:rFonts w:ascii="Tahoma" w:eastAsia="Times New Roman" w:hAnsi="Tahoma" w:cs="Tahoma"/>
              </w:rPr>
            </w:pPr>
          </w:p>
        </w:tc>
      </w:tr>
      <w:tr w:rsidR="001E67BD" w:rsidRPr="00172819" w:rsidTr="00A012F0">
        <w:trPr>
          <w:trHeight w:val="264"/>
        </w:trPr>
        <w:tc>
          <w:tcPr>
            <w:tcW w:w="5580" w:type="dxa"/>
            <w:tcBorders>
              <w:top w:val="nil"/>
              <w:left w:val="nil"/>
              <w:bottom w:val="nil"/>
              <w:right w:val="nil"/>
            </w:tcBorders>
            <w:shd w:val="clear" w:color="auto" w:fill="auto"/>
            <w:noWrap/>
            <w:vAlign w:val="bottom"/>
            <w:hideMark/>
          </w:tcPr>
          <w:p w:rsidR="001E67BD" w:rsidRPr="00172819" w:rsidRDefault="001E67BD" w:rsidP="00A012F0">
            <w:pPr>
              <w:spacing w:before="0" w:after="0"/>
              <w:rPr>
                <w:rFonts w:eastAsia="Times New Roman"/>
                <w:color w:val="auto"/>
                <w:sz w:val="20"/>
                <w:szCs w:val="20"/>
              </w:rPr>
            </w:pPr>
            <w:r w:rsidRPr="00172819">
              <w:rPr>
                <w:rFonts w:eastAsia="Times New Roman"/>
                <w:color w:val="auto"/>
                <w:sz w:val="20"/>
                <w:szCs w:val="20"/>
              </w:rPr>
              <w:t xml:space="preserve"> $</w:t>
            </w:r>
            <w:r>
              <w:rPr>
                <w:rFonts w:eastAsia="Times New Roman"/>
                <w:color w:val="auto"/>
                <w:sz w:val="20"/>
                <w:szCs w:val="20"/>
              </w:rPr>
              <w:t>66.887.438</w:t>
            </w:r>
            <w:r w:rsidRPr="00172819">
              <w:rPr>
                <w:rFonts w:eastAsia="Times New Roman"/>
                <w:color w:val="auto"/>
                <w:sz w:val="20"/>
                <w:szCs w:val="20"/>
              </w:rPr>
              <w:t>/</w:t>
            </w:r>
            <w:r>
              <w:rPr>
                <w:rFonts w:eastAsia="Times New Roman"/>
                <w:color w:val="auto"/>
                <w:sz w:val="20"/>
                <w:szCs w:val="20"/>
              </w:rPr>
              <w:t>$50.400.270</w:t>
            </w:r>
            <w:r w:rsidRPr="00172819">
              <w:rPr>
                <w:rFonts w:eastAsia="Times New Roman"/>
                <w:color w:val="auto"/>
                <w:sz w:val="20"/>
                <w:szCs w:val="20"/>
              </w:rPr>
              <w:t xml:space="preserve"> </w:t>
            </w:r>
          </w:p>
        </w:tc>
        <w:tc>
          <w:tcPr>
            <w:tcW w:w="1840" w:type="dxa"/>
            <w:tcBorders>
              <w:top w:val="nil"/>
              <w:left w:val="nil"/>
              <w:bottom w:val="nil"/>
              <w:right w:val="nil"/>
            </w:tcBorders>
            <w:shd w:val="clear" w:color="auto" w:fill="auto"/>
            <w:noWrap/>
            <w:vAlign w:val="bottom"/>
            <w:hideMark/>
          </w:tcPr>
          <w:p w:rsidR="001E67BD" w:rsidRPr="00172819" w:rsidRDefault="001E67BD" w:rsidP="00A012F0">
            <w:pPr>
              <w:spacing w:before="0" w:after="0"/>
              <w:rPr>
                <w:rFonts w:eastAsia="Times New Roman"/>
                <w:b/>
                <w:color w:val="auto"/>
                <w:sz w:val="20"/>
                <w:szCs w:val="20"/>
              </w:rPr>
            </w:pPr>
            <w:r w:rsidRPr="00172819">
              <w:rPr>
                <w:rFonts w:eastAsia="Times New Roman"/>
                <w:b/>
                <w:color w:val="auto"/>
                <w:sz w:val="20"/>
                <w:szCs w:val="20"/>
              </w:rPr>
              <w:t>1</w:t>
            </w:r>
            <w:r w:rsidRPr="006E3017">
              <w:rPr>
                <w:rFonts w:eastAsia="Times New Roman"/>
                <w:b/>
                <w:color w:val="auto"/>
                <w:sz w:val="20"/>
                <w:szCs w:val="20"/>
              </w:rPr>
              <w:t>.</w:t>
            </w:r>
            <w:r>
              <w:rPr>
                <w:rFonts w:eastAsia="Times New Roman"/>
                <w:b/>
                <w:color w:val="auto"/>
                <w:sz w:val="20"/>
                <w:szCs w:val="20"/>
              </w:rPr>
              <w:t>32</w:t>
            </w:r>
          </w:p>
        </w:tc>
      </w:tr>
    </w:tbl>
    <w:p w:rsidR="001E67BD" w:rsidRPr="0052074A" w:rsidRDefault="001E67BD" w:rsidP="001E67BD">
      <w:pPr>
        <w:spacing w:before="0" w:after="0" w:line="19" w:lineRule="atLeast"/>
        <w:rPr>
          <w:rFonts w:ascii="Tahoma" w:hAnsi="Tahoma" w:cs="Tahoma"/>
          <w:sz w:val="16"/>
        </w:rPr>
      </w:pPr>
    </w:p>
    <w:p w:rsidR="001E67BD" w:rsidRDefault="001E67BD" w:rsidP="001E67BD">
      <w:pPr>
        <w:spacing w:before="0" w:after="0" w:line="19" w:lineRule="atLeast"/>
        <w:jc w:val="both"/>
        <w:rPr>
          <w:rFonts w:ascii="Tahoma" w:hAnsi="Tahoma" w:cs="Tahoma"/>
        </w:rPr>
      </w:pPr>
      <w:r w:rsidRPr="00AD4CE9">
        <w:rPr>
          <w:rFonts w:ascii="Tahoma" w:hAnsi="Tahoma" w:cs="Tahoma"/>
        </w:rPr>
        <w:t>El anterior resultado nos muestra que por cada peso que</w:t>
      </w:r>
      <w:r>
        <w:rPr>
          <w:rFonts w:ascii="Tahoma" w:hAnsi="Tahoma" w:cs="Tahoma"/>
        </w:rPr>
        <w:t xml:space="preserve"> la Universidad del Tolima </w:t>
      </w:r>
      <w:r w:rsidRPr="00AD4CE9">
        <w:rPr>
          <w:rFonts w:ascii="Tahoma" w:hAnsi="Tahoma" w:cs="Tahoma"/>
        </w:rPr>
        <w:t xml:space="preserve"> debe a corto plazo, cuenta con </w:t>
      </w:r>
      <w:r>
        <w:rPr>
          <w:rFonts w:ascii="Tahoma" w:hAnsi="Tahoma" w:cs="Tahoma"/>
        </w:rPr>
        <w:t>1.32</w:t>
      </w:r>
      <w:r w:rsidRPr="00AD4CE9">
        <w:rPr>
          <w:rFonts w:ascii="Tahoma" w:hAnsi="Tahoma" w:cs="Tahoma"/>
        </w:rPr>
        <w:t xml:space="preserve">  pesos en activos corriente para c</w:t>
      </w:r>
      <w:r>
        <w:rPr>
          <w:rFonts w:ascii="Tahoma" w:hAnsi="Tahoma" w:cs="Tahoma"/>
        </w:rPr>
        <w:t xml:space="preserve">ubrirlos, lo que significa que </w:t>
      </w:r>
      <w:r w:rsidRPr="00AD4CE9">
        <w:rPr>
          <w:rFonts w:ascii="Tahoma" w:hAnsi="Tahoma" w:cs="Tahoma"/>
        </w:rPr>
        <w:t>l</w:t>
      </w:r>
      <w:r>
        <w:rPr>
          <w:rFonts w:ascii="Tahoma" w:hAnsi="Tahoma" w:cs="Tahoma"/>
        </w:rPr>
        <w:t>a mencionada</w:t>
      </w:r>
      <w:r w:rsidRPr="00AD4CE9">
        <w:rPr>
          <w:rFonts w:ascii="Tahoma" w:hAnsi="Tahoma" w:cs="Tahoma"/>
        </w:rPr>
        <w:t xml:space="preserve"> </w:t>
      </w:r>
      <w:r>
        <w:rPr>
          <w:rFonts w:ascii="Tahoma" w:hAnsi="Tahoma" w:cs="Tahoma"/>
        </w:rPr>
        <w:t xml:space="preserve">Institución </w:t>
      </w:r>
      <w:r w:rsidRPr="00AD4CE9">
        <w:rPr>
          <w:rFonts w:ascii="Tahoma" w:hAnsi="Tahoma" w:cs="Tahoma"/>
        </w:rPr>
        <w:t>refleja liquidez suficiente para cubrir sus pasivos de corto plazo</w:t>
      </w:r>
      <w:r>
        <w:rPr>
          <w:rFonts w:ascii="Tahoma" w:hAnsi="Tahoma" w:cs="Tahoma"/>
        </w:rPr>
        <w:t xml:space="preserve">, </w:t>
      </w:r>
    </w:p>
    <w:p w:rsidR="003B70A9" w:rsidRDefault="003B70A9" w:rsidP="001E67BD">
      <w:pPr>
        <w:spacing w:before="0" w:after="0" w:line="19" w:lineRule="atLeast"/>
        <w:jc w:val="both"/>
        <w:rPr>
          <w:rFonts w:ascii="Tahoma" w:hAnsi="Tahoma" w:cs="Tahoma"/>
          <w:sz w:val="18"/>
        </w:rPr>
      </w:pPr>
    </w:p>
    <w:p w:rsidR="001E67BD" w:rsidRPr="00AD4CE9" w:rsidRDefault="001E67BD" w:rsidP="001E67BD">
      <w:pPr>
        <w:spacing w:before="0" w:after="0" w:line="19" w:lineRule="atLeast"/>
        <w:jc w:val="both"/>
        <w:rPr>
          <w:rFonts w:ascii="Tahoma" w:hAnsi="Tahoma" w:cs="Tahoma"/>
        </w:rPr>
      </w:pPr>
      <w:r w:rsidRPr="00AD4CE9">
        <w:rPr>
          <w:rFonts w:ascii="Tahoma" w:hAnsi="Tahoma" w:cs="Tahoma"/>
        </w:rPr>
        <w:t>CAPITAL NETO DE TRABAJO</w:t>
      </w:r>
    </w:p>
    <w:p w:rsidR="001E67BD" w:rsidRPr="0052074A" w:rsidRDefault="001E67BD" w:rsidP="001E67BD">
      <w:pPr>
        <w:spacing w:before="0" w:after="0" w:line="19" w:lineRule="atLeast"/>
        <w:jc w:val="both"/>
        <w:rPr>
          <w:rFonts w:ascii="Tahoma" w:hAnsi="Tahoma" w:cs="Tahoma"/>
          <w:sz w:val="16"/>
        </w:rPr>
      </w:pPr>
    </w:p>
    <w:p w:rsidR="001E67BD" w:rsidRPr="00AD4CE9" w:rsidRDefault="001E67BD" w:rsidP="001E67BD">
      <w:pPr>
        <w:spacing w:before="0" w:after="0" w:line="19" w:lineRule="atLeast"/>
        <w:jc w:val="both"/>
        <w:rPr>
          <w:rFonts w:ascii="Tahoma" w:hAnsi="Tahoma" w:cs="Tahoma"/>
        </w:rPr>
      </w:pPr>
      <w:r w:rsidRPr="00AD4CE9">
        <w:rPr>
          <w:rFonts w:ascii="Tahoma" w:hAnsi="Tahoma" w:cs="Tahoma"/>
        </w:rPr>
        <w:t>El capital neto de trabajo es el resultado de restar del activo corriente los pasivos a corto plazo de la entidad. El capital de trabajo se considera como aquellos recursos que necesita la entidad para operar.</w:t>
      </w:r>
    </w:p>
    <w:p w:rsidR="001E67BD" w:rsidRPr="0052074A" w:rsidRDefault="001E67BD" w:rsidP="001E67BD">
      <w:pPr>
        <w:spacing w:before="0" w:after="0" w:line="19" w:lineRule="atLeast"/>
        <w:jc w:val="both"/>
        <w:rPr>
          <w:rFonts w:ascii="Tahoma" w:hAnsi="Tahoma" w:cs="Tahoma"/>
          <w:sz w:val="18"/>
        </w:rPr>
      </w:pPr>
    </w:p>
    <w:tbl>
      <w:tblPr>
        <w:tblW w:w="7420" w:type="dxa"/>
        <w:tblInd w:w="70" w:type="dxa"/>
        <w:tblCellMar>
          <w:left w:w="70" w:type="dxa"/>
          <w:right w:w="70" w:type="dxa"/>
        </w:tblCellMar>
        <w:tblLook w:val="04A0" w:firstRow="1" w:lastRow="0" w:firstColumn="1" w:lastColumn="0" w:noHBand="0" w:noVBand="1"/>
      </w:tblPr>
      <w:tblGrid>
        <w:gridCol w:w="5580"/>
        <w:gridCol w:w="1840"/>
      </w:tblGrid>
      <w:tr w:rsidR="001E67BD" w:rsidRPr="006E3017" w:rsidTr="00A012F0">
        <w:trPr>
          <w:trHeight w:val="276"/>
        </w:trPr>
        <w:tc>
          <w:tcPr>
            <w:tcW w:w="5580" w:type="dxa"/>
            <w:tcBorders>
              <w:top w:val="nil"/>
              <w:left w:val="nil"/>
              <w:bottom w:val="nil"/>
              <w:right w:val="nil"/>
            </w:tcBorders>
            <w:shd w:val="clear" w:color="auto" w:fill="auto"/>
            <w:noWrap/>
            <w:vAlign w:val="center"/>
            <w:hideMark/>
          </w:tcPr>
          <w:p w:rsidR="001E67BD" w:rsidRPr="006E3017" w:rsidRDefault="001E67BD" w:rsidP="00A012F0">
            <w:pPr>
              <w:spacing w:before="0" w:after="0"/>
              <w:jc w:val="both"/>
              <w:rPr>
                <w:rFonts w:ascii="Tahoma" w:eastAsia="Times New Roman" w:hAnsi="Tahoma" w:cs="Tahoma"/>
              </w:rPr>
            </w:pPr>
            <w:r w:rsidRPr="006E3017">
              <w:rPr>
                <w:rFonts w:ascii="Tahoma" w:eastAsia="Times New Roman" w:hAnsi="Tahoma" w:cs="Tahoma"/>
              </w:rPr>
              <w:t>Formula: Activo Corriente – Pasivo Corriente</w:t>
            </w:r>
          </w:p>
        </w:tc>
        <w:tc>
          <w:tcPr>
            <w:tcW w:w="1840" w:type="dxa"/>
            <w:tcBorders>
              <w:top w:val="nil"/>
              <w:left w:val="nil"/>
              <w:bottom w:val="nil"/>
              <w:right w:val="nil"/>
            </w:tcBorders>
            <w:shd w:val="clear" w:color="auto" w:fill="auto"/>
            <w:noWrap/>
            <w:vAlign w:val="bottom"/>
            <w:hideMark/>
          </w:tcPr>
          <w:p w:rsidR="001E67BD" w:rsidRPr="006E3017" w:rsidRDefault="001E67BD" w:rsidP="00A012F0">
            <w:pPr>
              <w:spacing w:before="0" w:after="0"/>
              <w:jc w:val="both"/>
              <w:rPr>
                <w:rFonts w:ascii="Tahoma" w:eastAsia="Times New Roman" w:hAnsi="Tahoma" w:cs="Tahoma"/>
              </w:rPr>
            </w:pPr>
          </w:p>
        </w:tc>
      </w:tr>
      <w:tr w:rsidR="001E67BD" w:rsidRPr="006E3017" w:rsidTr="00A012F0">
        <w:trPr>
          <w:trHeight w:val="264"/>
        </w:trPr>
        <w:tc>
          <w:tcPr>
            <w:tcW w:w="5580" w:type="dxa"/>
            <w:tcBorders>
              <w:top w:val="nil"/>
              <w:left w:val="nil"/>
              <w:bottom w:val="nil"/>
              <w:right w:val="nil"/>
            </w:tcBorders>
            <w:shd w:val="clear" w:color="auto" w:fill="auto"/>
            <w:noWrap/>
            <w:vAlign w:val="center"/>
            <w:hideMark/>
          </w:tcPr>
          <w:p w:rsidR="001E67BD" w:rsidRPr="006E3017" w:rsidRDefault="001E67BD" w:rsidP="00A012F0">
            <w:pPr>
              <w:spacing w:before="0" w:after="0"/>
              <w:rPr>
                <w:rFonts w:ascii="Times New Roman" w:eastAsia="Times New Roman" w:hAnsi="Times New Roman" w:cs="Times New Roman"/>
                <w:color w:val="auto"/>
                <w:sz w:val="20"/>
                <w:szCs w:val="20"/>
              </w:rPr>
            </w:pPr>
          </w:p>
        </w:tc>
        <w:tc>
          <w:tcPr>
            <w:tcW w:w="1840" w:type="dxa"/>
            <w:tcBorders>
              <w:top w:val="nil"/>
              <w:left w:val="nil"/>
              <w:bottom w:val="nil"/>
              <w:right w:val="nil"/>
            </w:tcBorders>
            <w:shd w:val="clear" w:color="auto" w:fill="auto"/>
            <w:noWrap/>
            <w:vAlign w:val="bottom"/>
            <w:hideMark/>
          </w:tcPr>
          <w:p w:rsidR="001E67BD" w:rsidRPr="006E3017" w:rsidRDefault="001E67BD" w:rsidP="00A012F0">
            <w:pPr>
              <w:spacing w:before="0" w:after="0"/>
              <w:jc w:val="both"/>
              <w:rPr>
                <w:rFonts w:ascii="Times New Roman" w:eastAsia="Times New Roman" w:hAnsi="Times New Roman" w:cs="Times New Roman"/>
                <w:color w:val="auto"/>
                <w:sz w:val="20"/>
                <w:szCs w:val="20"/>
              </w:rPr>
            </w:pPr>
          </w:p>
        </w:tc>
      </w:tr>
      <w:tr w:rsidR="001E67BD" w:rsidRPr="006E3017" w:rsidTr="00A012F0">
        <w:trPr>
          <w:trHeight w:val="276"/>
        </w:trPr>
        <w:tc>
          <w:tcPr>
            <w:tcW w:w="5580" w:type="dxa"/>
            <w:tcBorders>
              <w:top w:val="nil"/>
              <w:left w:val="nil"/>
              <w:bottom w:val="nil"/>
              <w:right w:val="nil"/>
            </w:tcBorders>
            <w:shd w:val="clear" w:color="auto" w:fill="auto"/>
            <w:noWrap/>
            <w:vAlign w:val="center"/>
            <w:hideMark/>
          </w:tcPr>
          <w:p w:rsidR="001E67BD" w:rsidRPr="006E3017" w:rsidRDefault="001E67BD" w:rsidP="00A012F0">
            <w:pPr>
              <w:spacing w:before="0" w:after="0"/>
              <w:jc w:val="both"/>
              <w:rPr>
                <w:rFonts w:ascii="Tahoma" w:eastAsia="Times New Roman" w:hAnsi="Tahoma" w:cs="Tahoma"/>
              </w:rPr>
            </w:pPr>
            <w:r w:rsidRPr="00EA6009">
              <w:rPr>
                <w:rFonts w:ascii="Tahoma" w:eastAsia="Times New Roman" w:hAnsi="Tahoma" w:cs="Tahoma"/>
              </w:rPr>
              <w:t>$</w:t>
            </w:r>
            <w:r w:rsidRPr="00EA6009">
              <w:rPr>
                <w:rFonts w:ascii="Tahoma" w:eastAsia="Times New Roman" w:hAnsi="Tahoma" w:cs="Tahoma"/>
                <w:color w:val="auto"/>
              </w:rPr>
              <w:t>66.887.438</w:t>
            </w:r>
            <w:r w:rsidRPr="00EA6009">
              <w:rPr>
                <w:rFonts w:ascii="Tahoma" w:eastAsia="Times New Roman" w:hAnsi="Tahoma" w:cs="Tahoma"/>
              </w:rPr>
              <w:t>-  $</w:t>
            </w:r>
            <w:r w:rsidRPr="00EA6009">
              <w:rPr>
                <w:rFonts w:ascii="Tahoma" w:eastAsia="Times New Roman" w:hAnsi="Tahoma" w:cs="Tahoma"/>
                <w:color w:val="auto"/>
              </w:rPr>
              <w:t>50.400.270</w:t>
            </w:r>
            <w:r w:rsidRPr="006E3017">
              <w:rPr>
                <w:rFonts w:ascii="Tahoma" w:eastAsia="Times New Roman" w:hAnsi="Tahoma" w:cs="Tahoma"/>
              </w:rPr>
              <w:t xml:space="preserve"> = </w:t>
            </w:r>
          </w:p>
        </w:tc>
        <w:tc>
          <w:tcPr>
            <w:tcW w:w="1840" w:type="dxa"/>
            <w:tcBorders>
              <w:top w:val="nil"/>
              <w:left w:val="nil"/>
              <w:bottom w:val="nil"/>
              <w:right w:val="nil"/>
            </w:tcBorders>
            <w:shd w:val="clear" w:color="auto" w:fill="auto"/>
            <w:noWrap/>
            <w:vAlign w:val="bottom"/>
            <w:hideMark/>
          </w:tcPr>
          <w:p w:rsidR="001E67BD" w:rsidRPr="00EA6009" w:rsidRDefault="001E67BD" w:rsidP="00A012F0">
            <w:pPr>
              <w:spacing w:before="0" w:after="0"/>
              <w:jc w:val="right"/>
              <w:rPr>
                <w:rFonts w:ascii="Tahoma" w:eastAsia="Times New Roman" w:hAnsi="Tahoma" w:cs="Tahoma"/>
                <w:bCs/>
                <w:color w:val="auto"/>
              </w:rPr>
            </w:pPr>
            <w:r w:rsidRPr="00EA6009">
              <w:rPr>
                <w:rFonts w:ascii="Tahoma" w:eastAsia="Times New Roman" w:hAnsi="Tahoma" w:cs="Tahoma"/>
                <w:bCs/>
                <w:color w:val="auto"/>
              </w:rPr>
              <w:t xml:space="preserve">$16.487.168 </w:t>
            </w:r>
          </w:p>
        </w:tc>
      </w:tr>
    </w:tbl>
    <w:p w:rsidR="001E67BD" w:rsidRPr="00AD4CE9" w:rsidRDefault="001E67BD" w:rsidP="001E67BD">
      <w:pPr>
        <w:spacing w:before="0" w:after="0" w:line="19" w:lineRule="atLeast"/>
        <w:jc w:val="both"/>
        <w:rPr>
          <w:rFonts w:ascii="Tahoma" w:hAnsi="Tahoma" w:cs="Tahoma"/>
        </w:rPr>
      </w:pPr>
    </w:p>
    <w:p w:rsidR="001E67BD" w:rsidRDefault="001E67BD" w:rsidP="001E67BD">
      <w:pPr>
        <w:spacing w:before="0" w:after="0" w:line="19" w:lineRule="atLeast"/>
        <w:jc w:val="both"/>
        <w:rPr>
          <w:rFonts w:ascii="Tahoma" w:hAnsi="Tahoma" w:cs="Tahoma"/>
        </w:rPr>
      </w:pPr>
      <w:r w:rsidRPr="00AD4CE9">
        <w:rPr>
          <w:rFonts w:ascii="Tahoma" w:hAnsi="Tahoma" w:cs="Tahoma"/>
        </w:rPr>
        <w:t>El anterior resultado nos indica que el ente territorial cuenta con suficientes recursos propios para operar.</w:t>
      </w:r>
    </w:p>
    <w:p w:rsidR="001E67BD" w:rsidRPr="0052074A" w:rsidRDefault="001E67BD" w:rsidP="001E67BD">
      <w:pPr>
        <w:spacing w:before="0" w:after="0" w:line="19" w:lineRule="atLeast"/>
        <w:jc w:val="both"/>
        <w:rPr>
          <w:rFonts w:ascii="Tahoma" w:hAnsi="Tahoma" w:cs="Tahoma"/>
          <w:sz w:val="16"/>
        </w:rPr>
      </w:pPr>
    </w:p>
    <w:p w:rsidR="001E67BD" w:rsidRPr="00AD4CE9" w:rsidRDefault="001E67BD" w:rsidP="001E67BD">
      <w:pPr>
        <w:spacing w:before="0" w:after="0" w:line="19" w:lineRule="atLeast"/>
        <w:jc w:val="both"/>
        <w:rPr>
          <w:rFonts w:ascii="Tahoma" w:hAnsi="Tahoma" w:cs="Tahoma"/>
        </w:rPr>
      </w:pPr>
      <w:r w:rsidRPr="00AD4CE9">
        <w:rPr>
          <w:rFonts w:ascii="Tahoma" w:hAnsi="Tahoma" w:cs="Tahoma"/>
        </w:rPr>
        <w:t>NIVEL DE ENDEUDAMIENTO</w:t>
      </w:r>
    </w:p>
    <w:p w:rsidR="001E67BD" w:rsidRPr="0052074A" w:rsidRDefault="001E67BD" w:rsidP="001E67BD">
      <w:pPr>
        <w:spacing w:before="0" w:after="0" w:line="19" w:lineRule="atLeast"/>
        <w:jc w:val="both"/>
        <w:rPr>
          <w:rFonts w:ascii="Tahoma" w:hAnsi="Tahoma" w:cs="Tahoma"/>
          <w:sz w:val="18"/>
        </w:rPr>
      </w:pPr>
    </w:p>
    <w:p w:rsidR="001E67BD" w:rsidRPr="00AD4CE9" w:rsidRDefault="001E67BD" w:rsidP="001E67BD">
      <w:pPr>
        <w:spacing w:before="0" w:after="0" w:line="19" w:lineRule="atLeast"/>
        <w:jc w:val="both"/>
        <w:rPr>
          <w:rFonts w:ascii="Tahoma" w:hAnsi="Tahoma" w:cs="Tahoma"/>
        </w:rPr>
      </w:pPr>
      <w:r w:rsidRPr="00AD4CE9">
        <w:rPr>
          <w:rFonts w:ascii="Tahoma" w:hAnsi="Tahoma" w:cs="Tahoma"/>
        </w:rPr>
        <w:lastRenderedPageBreak/>
        <w:t>Este indicador nos presenta el porcentaje de participación de los acreedores dentro de los activos del ente territorial.</w:t>
      </w:r>
    </w:p>
    <w:p w:rsidR="001E67BD" w:rsidRPr="0052074A" w:rsidRDefault="001E67BD" w:rsidP="001E67BD">
      <w:pPr>
        <w:spacing w:before="0" w:after="0" w:line="19" w:lineRule="atLeast"/>
        <w:jc w:val="both"/>
        <w:rPr>
          <w:rFonts w:ascii="Tahoma" w:hAnsi="Tahoma" w:cs="Tahoma"/>
          <w:sz w:val="16"/>
        </w:rPr>
      </w:pPr>
    </w:p>
    <w:tbl>
      <w:tblPr>
        <w:tblW w:w="7420" w:type="dxa"/>
        <w:tblInd w:w="70" w:type="dxa"/>
        <w:tblCellMar>
          <w:left w:w="70" w:type="dxa"/>
          <w:right w:w="70" w:type="dxa"/>
        </w:tblCellMar>
        <w:tblLook w:val="04A0" w:firstRow="1" w:lastRow="0" w:firstColumn="1" w:lastColumn="0" w:noHBand="0" w:noVBand="1"/>
      </w:tblPr>
      <w:tblGrid>
        <w:gridCol w:w="5580"/>
        <w:gridCol w:w="1840"/>
      </w:tblGrid>
      <w:tr w:rsidR="001E67BD" w:rsidRPr="00DA338E" w:rsidTr="00A012F0">
        <w:trPr>
          <w:trHeight w:val="276"/>
        </w:trPr>
        <w:tc>
          <w:tcPr>
            <w:tcW w:w="5580" w:type="dxa"/>
            <w:tcBorders>
              <w:top w:val="nil"/>
              <w:left w:val="nil"/>
              <w:bottom w:val="nil"/>
              <w:right w:val="nil"/>
            </w:tcBorders>
            <w:shd w:val="clear" w:color="auto" w:fill="auto"/>
            <w:noWrap/>
            <w:vAlign w:val="center"/>
            <w:hideMark/>
          </w:tcPr>
          <w:p w:rsidR="001E67BD" w:rsidRPr="00DA338E" w:rsidRDefault="001E67BD" w:rsidP="00A012F0">
            <w:pPr>
              <w:spacing w:before="0" w:after="0"/>
              <w:jc w:val="both"/>
              <w:rPr>
                <w:rFonts w:ascii="Tahoma" w:eastAsia="Times New Roman" w:hAnsi="Tahoma" w:cs="Tahoma"/>
              </w:rPr>
            </w:pPr>
            <w:r w:rsidRPr="00DA338E">
              <w:rPr>
                <w:rFonts w:ascii="Tahoma" w:eastAsia="Times New Roman" w:hAnsi="Tahoma" w:cs="Tahoma"/>
              </w:rPr>
              <w:t>Formula: Pasivo Total con Terceros / Activo Total</w:t>
            </w:r>
          </w:p>
        </w:tc>
        <w:tc>
          <w:tcPr>
            <w:tcW w:w="1840" w:type="dxa"/>
            <w:tcBorders>
              <w:top w:val="nil"/>
              <w:left w:val="nil"/>
              <w:bottom w:val="nil"/>
              <w:right w:val="nil"/>
            </w:tcBorders>
            <w:shd w:val="clear" w:color="auto" w:fill="auto"/>
            <w:noWrap/>
            <w:vAlign w:val="bottom"/>
            <w:hideMark/>
          </w:tcPr>
          <w:p w:rsidR="001E67BD" w:rsidRPr="00DA338E" w:rsidRDefault="001E67BD" w:rsidP="00A012F0">
            <w:pPr>
              <w:spacing w:before="0" w:after="0"/>
              <w:jc w:val="both"/>
              <w:rPr>
                <w:rFonts w:ascii="Tahoma" w:eastAsia="Times New Roman" w:hAnsi="Tahoma" w:cs="Tahoma"/>
              </w:rPr>
            </w:pPr>
          </w:p>
        </w:tc>
      </w:tr>
      <w:tr w:rsidR="001E67BD" w:rsidRPr="00DA338E" w:rsidTr="00A012F0">
        <w:trPr>
          <w:trHeight w:val="264"/>
        </w:trPr>
        <w:tc>
          <w:tcPr>
            <w:tcW w:w="5580" w:type="dxa"/>
            <w:tcBorders>
              <w:top w:val="nil"/>
              <w:left w:val="nil"/>
              <w:bottom w:val="nil"/>
              <w:right w:val="nil"/>
            </w:tcBorders>
            <w:shd w:val="clear" w:color="auto" w:fill="auto"/>
            <w:noWrap/>
            <w:vAlign w:val="center"/>
            <w:hideMark/>
          </w:tcPr>
          <w:p w:rsidR="001E67BD" w:rsidRPr="00DA338E" w:rsidRDefault="001E67BD" w:rsidP="00A012F0">
            <w:pPr>
              <w:spacing w:before="0" w:after="0"/>
              <w:rPr>
                <w:rFonts w:ascii="Times New Roman" w:eastAsia="Times New Roman" w:hAnsi="Times New Roman" w:cs="Times New Roman"/>
                <w:color w:val="auto"/>
                <w:sz w:val="20"/>
                <w:szCs w:val="20"/>
              </w:rPr>
            </w:pPr>
          </w:p>
        </w:tc>
        <w:tc>
          <w:tcPr>
            <w:tcW w:w="1840" w:type="dxa"/>
            <w:tcBorders>
              <w:top w:val="nil"/>
              <w:left w:val="nil"/>
              <w:bottom w:val="nil"/>
              <w:right w:val="nil"/>
            </w:tcBorders>
            <w:shd w:val="clear" w:color="auto" w:fill="auto"/>
            <w:noWrap/>
            <w:vAlign w:val="bottom"/>
            <w:hideMark/>
          </w:tcPr>
          <w:p w:rsidR="001E67BD" w:rsidRPr="00DA338E" w:rsidRDefault="001E67BD" w:rsidP="00A012F0">
            <w:pPr>
              <w:spacing w:before="0" w:after="0"/>
              <w:jc w:val="both"/>
              <w:rPr>
                <w:rFonts w:ascii="Times New Roman" w:eastAsia="Times New Roman" w:hAnsi="Times New Roman" w:cs="Times New Roman"/>
                <w:color w:val="auto"/>
                <w:sz w:val="20"/>
                <w:szCs w:val="20"/>
              </w:rPr>
            </w:pPr>
          </w:p>
        </w:tc>
      </w:tr>
      <w:tr w:rsidR="001E67BD" w:rsidRPr="00DA338E" w:rsidTr="00A012F0">
        <w:trPr>
          <w:trHeight w:val="276"/>
        </w:trPr>
        <w:tc>
          <w:tcPr>
            <w:tcW w:w="5580" w:type="dxa"/>
            <w:tcBorders>
              <w:top w:val="nil"/>
              <w:left w:val="nil"/>
              <w:bottom w:val="nil"/>
              <w:right w:val="nil"/>
            </w:tcBorders>
            <w:shd w:val="clear" w:color="auto" w:fill="auto"/>
            <w:noWrap/>
            <w:vAlign w:val="bottom"/>
            <w:hideMark/>
          </w:tcPr>
          <w:p w:rsidR="001E67BD" w:rsidRPr="00DA338E" w:rsidRDefault="001E67BD" w:rsidP="00A012F0">
            <w:pPr>
              <w:spacing w:before="0" w:after="0"/>
              <w:rPr>
                <w:rFonts w:ascii="Tahoma" w:eastAsia="Times New Roman" w:hAnsi="Tahoma" w:cs="Tahoma"/>
              </w:rPr>
            </w:pPr>
            <w:r>
              <w:rPr>
                <w:rFonts w:ascii="Tahoma" w:eastAsia="Times New Roman" w:hAnsi="Tahoma" w:cs="Tahoma"/>
              </w:rPr>
              <w:t>$82.452.210</w:t>
            </w:r>
            <w:r w:rsidRPr="00DA338E">
              <w:rPr>
                <w:rFonts w:ascii="Tahoma" w:eastAsia="Times New Roman" w:hAnsi="Tahoma" w:cs="Tahoma"/>
              </w:rPr>
              <w:t xml:space="preserve"> /</w:t>
            </w:r>
            <w:r>
              <w:rPr>
                <w:rFonts w:ascii="Tahoma" w:eastAsia="Times New Roman" w:hAnsi="Tahoma" w:cs="Tahoma"/>
              </w:rPr>
              <w:t>$</w:t>
            </w:r>
            <w:r w:rsidRPr="00DA338E">
              <w:rPr>
                <w:rFonts w:ascii="Tahoma" w:eastAsia="Times New Roman" w:hAnsi="Tahoma" w:cs="Tahoma"/>
              </w:rPr>
              <w:t>3</w:t>
            </w:r>
            <w:r>
              <w:rPr>
                <w:rFonts w:ascii="Tahoma" w:eastAsia="Times New Roman" w:hAnsi="Tahoma" w:cs="Tahoma"/>
              </w:rPr>
              <w:t>73</w:t>
            </w:r>
            <w:r w:rsidRPr="00DA338E">
              <w:rPr>
                <w:rFonts w:ascii="Tahoma" w:eastAsia="Times New Roman" w:hAnsi="Tahoma" w:cs="Tahoma"/>
              </w:rPr>
              <w:t>.</w:t>
            </w:r>
            <w:r>
              <w:rPr>
                <w:rFonts w:ascii="Tahoma" w:eastAsia="Times New Roman" w:hAnsi="Tahoma" w:cs="Tahoma"/>
              </w:rPr>
              <w:t>801</w:t>
            </w:r>
            <w:r w:rsidRPr="00DA338E">
              <w:rPr>
                <w:rFonts w:ascii="Tahoma" w:eastAsia="Times New Roman" w:hAnsi="Tahoma" w:cs="Tahoma"/>
              </w:rPr>
              <w:t>.</w:t>
            </w:r>
            <w:r>
              <w:rPr>
                <w:rFonts w:ascii="Tahoma" w:eastAsia="Times New Roman" w:hAnsi="Tahoma" w:cs="Tahoma"/>
              </w:rPr>
              <w:t>810</w:t>
            </w:r>
            <w:r w:rsidRPr="00DA338E">
              <w:rPr>
                <w:rFonts w:ascii="Tahoma" w:eastAsia="Times New Roman" w:hAnsi="Tahoma" w:cs="Tahoma"/>
              </w:rPr>
              <w:t xml:space="preserve"> =</w:t>
            </w:r>
          </w:p>
        </w:tc>
        <w:tc>
          <w:tcPr>
            <w:tcW w:w="1840" w:type="dxa"/>
            <w:tcBorders>
              <w:top w:val="nil"/>
              <w:left w:val="nil"/>
              <w:bottom w:val="nil"/>
              <w:right w:val="nil"/>
            </w:tcBorders>
            <w:shd w:val="clear" w:color="auto" w:fill="auto"/>
            <w:noWrap/>
            <w:vAlign w:val="bottom"/>
            <w:hideMark/>
          </w:tcPr>
          <w:p w:rsidR="001E67BD" w:rsidRPr="00624F74" w:rsidRDefault="001E67BD" w:rsidP="00A012F0">
            <w:pPr>
              <w:spacing w:before="0" w:after="0"/>
              <w:jc w:val="right"/>
              <w:rPr>
                <w:rFonts w:ascii="Tahoma" w:eastAsia="Times New Roman" w:hAnsi="Tahoma" w:cs="Tahoma"/>
                <w:bCs/>
                <w:color w:val="auto"/>
              </w:rPr>
            </w:pPr>
            <w:r w:rsidRPr="00624F74">
              <w:rPr>
                <w:rFonts w:ascii="Tahoma" w:eastAsia="Times New Roman" w:hAnsi="Tahoma" w:cs="Tahoma"/>
                <w:bCs/>
                <w:color w:val="auto"/>
              </w:rPr>
              <w:t>22%</w:t>
            </w:r>
          </w:p>
        </w:tc>
      </w:tr>
    </w:tbl>
    <w:p w:rsidR="001E67BD" w:rsidRPr="00AD4CE9" w:rsidRDefault="001E67BD" w:rsidP="001E67BD">
      <w:pPr>
        <w:spacing w:before="0" w:after="0" w:line="19" w:lineRule="atLeast"/>
        <w:jc w:val="both"/>
        <w:rPr>
          <w:rFonts w:ascii="Tahoma" w:hAnsi="Tahoma" w:cs="Tahoma"/>
        </w:rPr>
      </w:pPr>
    </w:p>
    <w:p w:rsidR="001E67BD" w:rsidRPr="00AD4CE9" w:rsidRDefault="001E67BD" w:rsidP="001E67BD">
      <w:pPr>
        <w:spacing w:before="0" w:after="0" w:line="19" w:lineRule="atLeast"/>
        <w:jc w:val="both"/>
        <w:rPr>
          <w:rFonts w:ascii="Tahoma" w:hAnsi="Tahoma" w:cs="Tahoma"/>
        </w:rPr>
      </w:pPr>
      <w:r w:rsidRPr="00AD4CE9">
        <w:rPr>
          <w:rFonts w:ascii="Tahoma" w:hAnsi="Tahoma" w:cs="Tahoma"/>
        </w:rPr>
        <w:t xml:space="preserve">El anterior resultado nos indica que del total de activos que posee </w:t>
      </w:r>
      <w:r>
        <w:rPr>
          <w:rFonts w:ascii="Tahoma" w:hAnsi="Tahoma" w:cs="Tahoma"/>
        </w:rPr>
        <w:t>la Universidad del Tolima</w:t>
      </w:r>
      <w:r w:rsidRPr="00AD4CE9">
        <w:rPr>
          <w:rFonts w:ascii="Tahoma" w:hAnsi="Tahoma" w:cs="Tahoma"/>
        </w:rPr>
        <w:t xml:space="preserve">, el </w:t>
      </w:r>
      <w:r>
        <w:rPr>
          <w:rFonts w:ascii="Tahoma" w:hAnsi="Tahoma" w:cs="Tahoma"/>
        </w:rPr>
        <w:t>22%</w:t>
      </w:r>
      <w:r w:rsidRPr="00AD4CE9">
        <w:rPr>
          <w:rFonts w:ascii="Tahoma" w:hAnsi="Tahoma" w:cs="Tahoma"/>
        </w:rPr>
        <w:t xml:space="preserve"> está siendo financiado por los acreedores.</w:t>
      </w:r>
    </w:p>
    <w:p w:rsidR="001E67BD" w:rsidRPr="0052074A" w:rsidRDefault="001E67BD" w:rsidP="001E67BD">
      <w:pPr>
        <w:spacing w:before="0" w:after="0" w:line="19" w:lineRule="atLeast"/>
        <w:jc w:val="both"/>
        <w:rPr>
          <w:rFonts w:ascii="Tahoma" w:hAnsi="Tahoma" w:cs="Tahoma"/>
          <w:sz w:val="16"/>
        </w:rPr>
      </w:pPr>
    </w:p>
    <w:p w:rsidR="001E67BD" w:rsidRPr="00AD4CE9" w:rsidRDefault="001E67BD" w:rsidP="001E67BD">
      <w:pPr>
        <w:spacing w:before="0" w:after="0" w:line="19" w:lineRule="atLeast"/>
        <w:jc w:val="both"/>
        <w:rPr>
          <w:rFonts w:ascii="Tahoma" w:hAnsi="Tahoma" w:cs="Tahoma"/>
        </w:rPr>
      </w:pPr>
      <w:r w:rsidRPr="00AD4CE9">
        <w:rPr>
          <w:rFonts w:ascii="Tahoma" w:hAnsi="Tahoma" w:cs="Tahoma"/>
        </w:rPr>
        <w:t>RAZÓN DEL PATRIMONIO</w:t>
      </w:r>
    </w:p>
    <w:p w:rsidR="001E67BD" w:rsidRPr="0052074A" w:rsidRDefault="001E67BD" w:rsidP="001E67BD">
      <w:pPr>
        <w:spacing w:before="0" w:after="0" w:line="19" w:lineRule="atLeast"/>
        <w:jc w:val="both"/>
        <w:rPr>
          <w:rFonts w:ascii="Tahoma" w:hAnsi="Tahoma" w:cs="Tahoma"/>
          <w:sz w:val="16"/>
        </w:rPr>
      </w:pPr>
    </w:p>
    <w:p w:rsidR="001E67BD" w:rsidRPr="00AD4CE9" w:rsidRDefault="001E67BD" w:rsidP="001E67BD">
      <w:pPr>
        <w:spacing w:before="0" w:after="0" w:line="19" w:lineRule="atLeast"/>
        <w:jc w:val="both"/>
        <w:rPr>
          <w:rFonts w:ascii="Tahoma" w:hAnsi="Tahoma" w:cs="Tahoma"/>
        </w:rPr>
      </w:pPr>
      <w:r w:rsidRPr="00AD4CE9">
        <w:rPr>
          <w:rFonts w:ascii="Tahoma" w:hAnsi="Tahoma" w:cs="Tahoma"/>
        </w:rPr>
        <w:t>Nos muestra hasta qué punto la entidad tiene independencia financiera ante sus acreedores, se determina dividiendo el valor del patrimonio entre el activo total.</w:t>
      </w:r>
    </w:p>
    <w:p w:rsidR="001E67BD" w:rsidRPr="0052074A" w:rsidRDefault="001E67BD" w:rsidP="001E67BD">
      <w:pPr>
        <w:spacing w:before="0" w:after="0" w:line="19" w:lineRule="atLeast"/>
        <w:jc w:val="both"/>
        <w:rPr>
          <w:rFonts w:ascii="Tahoma" w:hAnsi="Tahoma" w:cs="Tahoma"/>
          <w:sz w:val="16"/>
        </w:rPr>
      </w:pPr>
    </w:p>
    <w:tbl>
      <w:tblPr>
        <w:tblW w:w="7435" w:type="dxa"/>
        <w:tblInd w:w="70" w:type="dxa"/>
        <w:tblCellMar>
          <w:left w:w="70" w:type="dxa"/>
          <w:right w:w="70" w:type="dxa"/>
        </w:tblCellMar>
        <w:tblLook w:val="04A0" w:firstRow="1" w:lastRow="0" w:firstColumn="1" w:lastColumn="0" w:noHBand="0" w:noVBand="1"/>
      </w:tblPr>
      <w:tblGrid>
        <w:gridCol w:w="5591"/>
        <w:gridCol w:w="1844"/>
      </w:tblGrid>
      <w:tr w:rsidR="001E67BD" w:rsidRPr="00B67569" w:rsidTr="00A012F0">
        <w:trPr>
          <w:trHeight w:val="313"/>
        </w:trPr>
        <w:tc>
          <w:tcPr>
            <w:tcW w:w="5591" w:type="dxa"/>
            <w:tcBorders>
              <w:top w:val="nil"/>
              <w:left w:val="nil"/>
              <w:bottom w:val="nil"/>
              <w:right w:val="nil"/>
            </w:tcBorders>
            <w:shd w:val="clear" w:color="auto" w:fill="auto"/>
            <w:noWrap/>
            <w:vAlign w:val="center"/>
            <w:hideMark/>
          </w:tcPr>
          <w:p w:rsidR="001E67BD" w:rsidRPr="00B67569" w:rsidRDefault="001E67BD" w:rsidP="00A012F0">
            <w:pPr>
              <w:spacing w:before="0" w:after="0"/>
              <w:jc w:val="both"/>
              <w:rPr>
                <w:rFonts w:ascii="Tahoma" w:eastAsia="Times New Roman" w:hAnsi="Tahoma" w:cs="Tahoma"/>
              </w:rPr>
            </w:pPr>
            <w:r w:rsidRPr="00B67569">
              <w:rPr>
                <w:rFonts w:ascii="Tahoma" w:eastAsia="Times New Roman" w:hAnsi="Tahoma" w:cs="Tahoma"/>
              </w:rPr>
              <w:t>Formula: Patrimonio Total / Activo Total</w:t>
            </w:r>
          </w:p>
        </w:tc>
        <w:tc>
          <w:tcPr>
            <w:tcW w:w="1844" w:type="dxa"/>
            <w:tcBorders>
              <w:top w:val="nil"/>
              <w:left w:val="nil"/>
              <w:bottom w:val="nil"/>
              <w:right w:val="nil"/>
            </w:tcBorders>
            <w:shd w:val="clear" w:color="auto" w:fill="auto"/>
            <w:noWrap/>
            <w:vAlign w:val="bottom"/>
            <w:hideMark/>
          </w:tcPr>
          <w:p w:rsidR="001E67BD" w:rsidRPr="00B67569" w:rsidRDefault="001E67BD" w:rsidP="00A012F0">
            <w:pPr>
              <w:spacing w:before="0" w:after="0"/>
              <w:jc w:val="both"/>
              <w:rPr>
                <w:rFonts w:ascii="Tahoma" w:eastAsia="Times New Roman" w:hAnsi="Tahoma" w:cs="Tahoma"/>
              </w:rPr>
            </w:pPr>
          </w:p>
        </w:tc>
      </w:tr>
      <w:tr w:rsidR="001E67BD" w:rsidRPr="00B67569" w:rsidTr="00A012F0">
        <w:trPr>
          <w:trHeight w:val="300"/>
        </w:trPr>
        <w:tc>
          <w:tcPr>
            <w:tcW w:w="5591" w:type="dxa"/>
            <w:tcBorders>
              <w:top w:val="nil"/>
              <w:left w:val="nil"/>
              <w:bottom w:val="nil"/>
              <w:right w:val="nil"/>
            </w:tcBorders>
            <w:shd w:val="clear" w:color="auto" w:fill="auto"/>
            <w:noWrap/>
            <w:vAlign w:val="center"/>
            <w:hideMark/>
          </w:tcPr>
          <w:p w:rsidR="001E67BD" w:rsidRPr="00B67569" w:rsidRDefault="001E67BD" w:rsidP="00A012F0">
            <w:pPr>
              <w:spacing w:before="0" w:after="0"/>
              <w:rPr>
                <w:rFonts w:ascii="Times New Roman" w:eastAsia="Times New Roman" w:hAnsi="Times New Roman" w:cs="Times New Roman"/>
                <w:color w:val="auto"/>
                <w:sz w:val="20"/>
                <w:szCs w:val="20"/>
              </w:rPr>
            </w:pPr>
          </w:p>
        </w:tc>
        <w:tc>
          <w:tcPr>
            <w:tcW w:w="1844" w:type="dxa"/>
            <w:tcBorders>
              <w:top w:val="nil"/>
              <w:left w:val="nil"/>
              <w:bottom w:val="nil"/>
              <w:right w:val="nil"/>
            </w:tcBorders>
            <w:shd w:val="clear" w:color="auto" w:fill="auto"/>
            <w:noWrap/>
            <w:vAlign w:val="bottom"/>
            <w:hideMark/>
          </w:tcPr>
          <w:p w:rsidR="001E67BD" w:rsidRPr="00B67569" w:rsidRDefault="001E67BD" w:rsidP="00A012F0">
            <w:pPr>
              <w:spacing w:before="0" w:after="0"/>
              <w:jc w:val="both"/>
              <w:rPr>
                <w:rFonts w:ascii="Times New Roman" w:eastAsia="Times New Roman" w:hAnsi="Times New Roman" w:cs="Times New Roman"/>
                <w:color w:val="auto"/>
                <w:sz w:val="20"/>
                <w:szCs w:val="20"/>
              </w:rPr>
            </w:pPr>
          </w:p>
        </w:tc>
      </w:tr>
      <w:tr w:rsidR="001E67BD" w:rsidRPr="00B67569" w:rsidTr="00A012F0">
        <w:trPr>
          <w:trHeight w:val="313"/>
        </w:trPr>
        <w:tc>
          <w:tcPr>
            <w:tcW w:w="5591" w:type="dxa"/>
            <w:tcBorders>
              <w:top w:val="nil"/>
              <w:left w:val="nil"/>
              <w:bottom w:val="nil"/>
              <w:right w:val="nil"/>
            </w:tcBorders>
            <w:shd w:val="clear" w:color="auto" w:fill="auto"/>
            <w:noWrap/>
            <w:vAlign w:val="center"/>
            <w:hideMark/>
          </w:tcPr>
          <w:p w:rsidR="001E67BD" w:rsidRPr="00B67569" w:rsidRDefault="001E67BD" w:rsidP="00A012F0">
            <w:pPr>
              <w:spacing w:before="0" w:after="0"/>
              <w:jc w:val="both"/>
              <w:rPr>
                <w:rFonts w:ascii="Tahoma" w:eastAsia="Times New Roman" w:hAnsi="Tahoma" w:cs="Tahoma"/>
              </w:rPr>
            </w:pPr>
            <w:r w:rsidRPr="00B67569">
              <w:rPr>
                <w:rFonts w:ascii="Tahoma" w:eastAsia="Times New Roman" w:hAnsi="Tahoma" w:cs="Tahoma"/>
              </w:rPr>
              <w:t>$</w:t>
            </w:r>
            <w:r>
              <w:rPr>
                <w:rFonts w:ascii="Tahoma" w:eastAsia="Times New Roman" w:hAnsi="Tahoma" w:cs="Tahoma"/>
              </w:rPr>
              <w:t>290.775.600</w:t>
            </w:r>
            <w:r w:rsidRPr="00B67569">
              <w:rPr>
                <w:rFonts w:ascii="Tahoma" w:eastAsia="Times New Roman" w:hAnsi="Tahoma" w:cs="Tahoma"/>
              </w:rPr>
              <w:t>/</w:t>
            </w:r>
            <w:r>
              <w:rPr>
                <w:rFonts w:ascii="Tahoma" w:eastAsia="Times New Roman" w:hAnsi="Tahoma" w:cs="Tahoma"/>
              </w:rPr>
              <w:t>$</w:t>
            </w:r>
            <w:r w:rsidRPr="00B67569">
              <w:rPr>
                <w:rFonts w:ascii="Tahoma" w:eastAsia="Times New Roman" w:hAnsi="Tahoma" w:cs="Tahoma"/>
              </w:rPr>
              <w:t>3</w:t>
            </w:r>
            <w:r>
              <w:rPr>
                <w:rFonts w:ascii="Tahoma" w:eastAsia="Times New Roman" w:hAnsi="Tahoma" w:cs="Tahoma"/>
              </w:rPr>
              <w:t>73</w:t>
            </w:r>
            <w:r w:rsidRPr="00B67569">
              <w:rPr>
                <w:rFonts w:ascii="Tahoma" w:eastAsia="Times New Roman" w:hAnsi="Tahoma" w:cs="Tahoma"/>
              </w:rPr>
              <w:t>.</w:t>
            </w:r>
            <w:r>
              <w:rPr>
                <w:rFonts w:ascii="Tahoma" w:eastAsia="Times New Roman" w:hAnsi="Tahoma" w:cs="Tahoma"/>
              </w:rPr>
              <w:t>801</w:t>
            </w:r>
            <w:r w:rsidRPr="00B67569">
              <w:rPr>
                <w:rFonts w:ascii="Tahoma" w:eastAsia="Times New Roman" w:hAnsi="Tahoma" w:cs="Tahoma"/>
              </w:rPr>
              <w:t>.</w:t>
            </w:r>
            <w:r>
              <w:rPr>
                <w:rFonts w:ascii="Tahoma" w:eastAsia="Times New Roman" w:hAnsi="Tahoma" w:cs="Tahoma"/>
              </w:rPr>
              <w:t>810</w:t>
            </w:r>
            <w:r w:rsidRPr="00B67569">
              <w:rPr>
                <w:rFonts w:ascii="Tahoma" w:eastAsia="Times New Roman" w:hAnsi="Tahoma" w:cs="Tahoma"/>
              </w:rPr>
              <w:t xml:space="preserve"> = 90.34%</w:t>
            </w:r>
          </w:p>
        </w:tc>
        <w:tc>
          <w:tcPr>
            <w:tcW w:w="1844" w:type="dxa"/>
            <w:tcBorders>
              <w:top w:val="nil"/>
              <w:left w:val="nil"/>
              <w:bottom w:val="nil"/>
              <w:right w:val="nil"/>
            </w:tcBorders>
            <w:shd w:val="clear" w:color="auto" w:fill="auto"/>
            <w:noWrap/>
            <w:vAlign w:val="bottom"/>
            <w:hideMark/>
          </w:tcPr>
          <w:p w:rsidR="001E67BD" w:rsidRPr="001C40C6" w:rsidRDefault="001E67BD" w:rsidP="00A012F0">
            <w:pPr>
              <w:spacing w:before="0" w:after="0"/>
              <w:jc w:val="right"/>
              <w:rPr>
                <w:rFonts w:ascii="Tahoma" w:eastAsia="Times New Roman" w:hAnsi="Tahoma" w:cs="Tahoma"/>
                <w:color w:val="auto"/>
              </w:rPr>
            </w:pPr>
            <w:r w:rsidRPr="001C40C6">
              <w:rPr>
                <w:rFonts w:ascii="Tahoma" w:eastAsia="Times New Roman" w:hAnsi="Tahoma" w:cs="Tahoma"/>
                <w:color w:val="auto"/>
              </w:rPr>
              <w:t>77.78%</w:t>
            </w:r>
          </w:p>
        </w:tc>
      </w:tr>
    </w:tbl>
    <w:p w:rsidR="001E67BD" w:rsidRPr="0052074A" w:rsidRDefault="001E67BD" w:rsidP="001E67BD">
      <w:pPr>
        <w:spacing w:before="0" w:after="0" w:line="19" w:lineRule="atLeast"/>
        <w:jc w:val="both"/>
        <w:rPr>
          <w:rFonts w:ascii="Tahoma" w:hAnsi="Tahoma" w:cs="Tahoma"/>
          <w:sz w:val="16"/>
        </w:rPr>
      </w:pPr>
    </w:p>
    <w:p w:rsidR="001E67BD" w:rsidRDefault="001E67BD" w:rsidP="001E67BD">
      <w:pPr>
        <w:spacing w:before="0" w:after="0" w:line="19" w:lineRule="atLeast"/>
        <w:jc w:val="both"/>
        <w:rPr>
          <w:rFonts w:ascii="Tahoma" w:hAnsi="Tahoma" w:cs="Tahoma"/>
        </w:rPr>
      </w:pPr>
      <w:r w:rsidRPr="00AD4CE9">
        <w:rPr>
          <w:rFonts w:ascii="Tahoma" w:hAnsi="Tahoma" w:cs="Tahoma"/>
        </w:rPr>
        <w:t xml:space="preserve">El porcentaje establecido anteriormente nos indica que el </w:t>
      </w:r>
      <w:r>
        <w:rPr>
          <w:rFonts w:ascii="Tahoma" w:hAnsi="Tahoma" w:cs="Tahoma"/>
        </w:rPr>
        <w:t>77.78</w:t>
      </w:r>
      <w:r w:rsidRPr="00AD4CE9">
        <w:rPr>
          <w:rFonts w:ascii="Tahoma" w:hAnsi="Tahoma" w:cs="Tahoma"/>
        </w:rPr>
        <w:t>% de los activos, están siendo financiados con capital propio.</w:t>
      </w:r>
    </w:p>
    <w:p w:rsidR="001E67BD" w:rsidRDefault="001E67BD" w:rsidP="001E67BD">
      <w:pPr>
        <w:spacing w:before="0" w:after="0" w:line="19" w:lineRule="atLeast"/>
        <w:jc w:val="both"/>
        <w:rPr>
          <w:rFonts w:ascii="Tahoma" w:hAnsi="Tahoma" w:cs="Tahoma"/>
        </w:rPr>
      </w:pPr>
    </w:p>
    <w:p w:rsidR="001E67BD" w:rsidRDefault="001E67BD" w:rsidP="001E67BD">
      <w:pPr>
        <w:spacing w:before="0" w:after="0" w:line="19" w:lineRule="atLeast"/>
        <w:jc w:val="both"/>
        <w:rPr>
          <w:rFonts w:ascii="Tahoma" w:hAnsi="Tahoma" w:cs="Tahoma"/>
        </w:rPr>
      </w:pPr>
      <w:r>
        <w:rPr>
          <w:rFonts w:ascii="Tahoma" w:hAnsi="Tahoma" w:cs="Tahoma"/>
        </w:rPr>
        <w:t>No obstante, para la vigencia fiscal 2015 la Universidad del Tolima presentar índices financieros aceptables, es notoria su disminución con respecto a los calculado con la información de la vigencia 2014.</w:t>
      </w:r>
    </w:p>
    <w:p w:rsidR="00C27399" w:rsidRDefault="00C27399" w:rsidP="001E67BD">
      <w:pPr>
        <w:spacing w:before="0" w:after="0" w:line="19" w:lineRule="atLeast"/>
        <w:jc w:val="both"/>
        <w:rPr>
          <w:rFonts w:ascii="Tahoma" w:hAnsi="Tahoma" w:cs="Tahoma"/>
        </w:rPr>
      </w:pPr>
    </w:p>
    <w:sectPr w:rsidR="00C27399" w:rsidSect="00454B8B">
      <w:headerReference w:type="default" r:id="rId10"/>
      <w:footerReference w:type="default" r:id="rId11"/>
      <w:pgSz w:w="12242" w:h="15842" w:code="1"/>
      <w:pgMar w:top="2376" w:right="1701" w:bottom="2268" w:left="1701" w:header="340" w:footer="191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7412" w:rsidRDefault="00A77412" w:rsidP="00650A99">
      <w:r>
        <w:separator/>
      </w:r>
    </w:p>
  </w:endnote>
  <w:endnote w:type="continuationSeparator" w:id="0">
    <w:p w:rsidR="00A77412" w:rsidRDefault="00A77412" w:rsidP="00650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0A9" w:rsidRPr="00070555" w:rsidRDefault="003B70A9">
    <w:pPr>
      <w:pStyle w:val="Piedepgina"/>
      <w:rPr>
        <w:rFonts w:ascii="Tahoma" w:hAnsi="Tahoma" w:cs="Tahoma"/>
        <w:sz w:val="14"/>
        <w:szCs w:val="20"/>
      </w:rPr>
    </w:pPr>
    <w:r>
      <w:rPr>
        <w:rFonts w:ascii="Tahoma" w:hAnsi="Tahoma" w:cs="Tahoma"/>
        <w:noProof/>
        <w:sz w:val="14"/>
        <w:szCs w:val="20"/>
      </w:rPr>
      <mc:AlternateContent>
        <mc:Choice Requires="wps">
          <w:drawing>
            <wp:anchor distT="0" distB="0" distL="114300" distR="114300" simplePos="0" relativeHeight="251668480" behindDoc="0" locked="0" layoutInCell="1" allowOverlap="1" wp14:anchorId="7A2695F4" wp14:editId="3553B61D">
              <wp:simplePos x="0" y="0"/>
              <wp:positionH relativeFrom="column">
                <wp:posOffset>2510790</wp:posOffset>
              </wp:positionH>
              <wp:positionV relativeFrom="paragraph">
                <wp:posOffset>28575</wp:posOffset>
              </wp:positionV>
              <wp:extent cx="1190625" cy="297815"/>
              <wp:effectExtent l="0" t="0" r="0" b="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297815"/>
                      </a:xfrm>
                      <a:prstGeom prst="rect">
                        <a:avLst/>
                      </a:prstGeom>
                      <a:noFill/>
                      <a:ln w="9525">
                        <a:noFill/>
                        <a:miter lim="800000"/>
                        <a:headEnd/>
                        <a:tailEnd/>
                      </a:ln>
                    </wps:spPr>
                    <wps:txbx>
                      <w:txbxContent>
                        <w:p w:rsidR="003B70A9" w:rsidRPr="003205FF" w:rsidRDefault="003B70A9" w:rsidP="00B6483D">
                          <w:pPr>
                            <w:jc w:val="center"/>
                            <w:rPr>
                              <w:rFonts w:ascii="Tahoma" w:hAnsi="Tahoma" w:cs="Tahoma"/>
                              <w:sz w:val="14"/>
                              <w:szCs w:val="16"/>
                            </w:rPr>
                          </w:pPr>
                          <w:r w:rsidRPr="003205FF">
                            <w:rPr>
                              <w:rFonts w:ascii="Tahoma" w:hAnsi="Tahoma" w:cs="Tahoma"/>
                              <w:sz w:val="14"/>
                              <w:szCs w:val="16"/>
                            </w:rPr>
                            <w:fldChar w:fldCharType="begin"/>
                          </w:r>
                          <w:r w:rsidRPr="003205FF">
                            <w:rPr>
                              <w:rFonts w:ascii="Tahoma" w:hAnsi="Tahoma" w:cs="Tahoma"/>
                              <w:sz w:val="14"/>
                              <w:szCs w:val="16"/>
                            </w:rPr>
                            <w:instrText>PAGE  \* Arabic  \* MERGEFORMAT</w:instrText>
                          </w:r>
                          <w:r w:rsidRPr="003205FF">
                            <w:rPr>
                              <w:rFonts w:ascii="Tahoma" w:hAnsi="Tahoma" w:cs="Tahoma"/>
                              <w:sz w:val="14"/>
                              <w:szCs w:val="16"/>
                            </w:rPr>
                            <w:fldChar w:fldCharType="separate"/>
                          </w:r>
                          <w:r w:rsidR="007C2C0B" w:rsidRPr="007C2C0B">
                            <w:rPr>
                              <w:rFonts w:ascii="Tahoma" w:hAnsi="Tahoma" w:cs="Tahoma"/>
                              <w:noProof/>
                              <w:sz w:val="14"/>
                              <w:szCs w:val="16"/>
                              <w:lang w:val="es-ES"/>
                            </w:rPr>
                            <w:t>8</w:t>
                          </w:r>
                          <w:r w:rsidRPr="003205FF">
                            <w:rPr>
                              <w:rFonts w:ascii="Tahoma" w:hAnsi="Tahoma" w:cs="Tahoma"/>
                              <w:sz w:val="14"/>
                              <w:szCs w:val="16"/>
                            </w:rPr>
                            <w:fldChar w:fldCharType="end"/>
                          </w:r>
                          <w:r w:rsidRPr="003205FF">
                            <w:rPr>
                              <w:rFonts w:ascii="Tahoma" w:hAnsi="Tahoma" w:cs="Tahoma"/>
                              <w:sz w:val="12"/>
                              <w:szCs w:val="16"/>
                              <w:lang w:val="es-ES"/>
                            </w:rPr>
                            <w:t xml:space="preserve"> de </w:t>
                          </w:r>
                          <w:fldSimple w:instr="NUMPAGES  \* Arabic  \* MERGEFORMAT">
                            <w:r w:rsidR="007C2C0B" w:rsidRPr="007C2C0B">
                              <w:rPr>
                                <w:rFonts w:ascii="Tahoma" w:hAnsi="Tahoma" w:cs="Tahoma"/>
                                <w:noProof/>
                                <w:sz w:val="14"/>
                                <w:szCs w:val="16"/>
                                <w:lang w:val="es-ES"/>
                              </w:rPr>
                              <w:t>8</w:t>
                            </w:r>
                          </w:fldSimple>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2695F4" id="_x0000_t202" coordsize="21600,21600" o:spt="202" path="m,l,21600r21600,l21600,xe">
              <v:stroke joinstyle="miter"/>
              <v:path gradientshapeok="t" o:connecttype="rect"/>
            </v:shapetype>
            <v:shape id="Cuadro de texto 2" o:spid="_x0000_s1026" type="#_x0000_t202" style="position:absolute;margin-left:197.7pt;margin-top:2.25pt;width:93.75pt;height:2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" filled="f" stroked="f">
              <v:textbox>
                <w:txbxContent>
                  <w:p w:rsidR="003B70A9" w:rsidRPr="003205FF" w:rsidRDefault="003B70A9" w:rsidP="00B6483D">
                    <w:pPr>
                      <w:jc w:val="center"/>
                      <w:rPr>
                        <w:rFonts w:ascii="Tahoma" w:hAnsi="Tahoma" w:cs="Tahoma"/>
                        <w:sz w:val="14"/>
                        <w:szCs w:val="16"/>
                      </w:rPr>
                    </w:pPr>
                    <w:r w:rsidRPr="003205FF">
                      <w:rPr>
                        <w:rFonts w:ascii="Tahoma" w:hAnsi="Tahoma" w:cs="Tahoma"/>
                        <w:sz w:val="14"/>
                        <w:szCs w:val="16"/>
                      </w:rPr>
                      <w:fldChar w:fldCharType="begin"/>
                    </w:r>
                    <w:r w:rsidRPr="003205FF">
                      <w:rPr>
                        <w:rFonts w:ascii="Tahoma" w:hAnsi="Tahoma" w:cs="Tahoma"/>
                        <w:sz w:val="14"/>
                        <w:szCs w:val="16"/>
                      </w:rPr>
                      <w:instrText>PAGE  \* Arabic  \* MERGEFORMAT</w:instrText>
                    </w:r>
                    <w:r w:rsidRPr="003205FF">
                      <w:rPr>
                        <w:rFonts w:ascii="Tahoma" w:hAnsi="Tahoma" w:cs="Tahoma"/>
                        <w:sz w:val="14"/>
                        <w:szCs w:val="16"/>
                      </w:rPr>
                      <w:fldChar w:fldCharType="separate"/>
                    </w:r>
                    <w:r w:rsidR="007C2C0B" w:rsidRPr="007C2C0B">
                      <w:rPr>
                        <w:rFonts w:ascii="Tahoma" w:hAnsi="Tahoma" w:cs="Tahoma"/>
                        <w:noProof/>
                        <w:sz w:val="14"/>
                        <w:szCs w:val="16"/>
                        <w:lang w:val="es-ES"/>
                      </w:rPr>
                      <w:t>8</w:t>
                    </w:r>
                    <w:r w:rsidRPr="003205FF">
                      <w:rPr>
                        <w:rFonts w:ascii="Tahoma" w:hAnsi="Tahoma" w:cs="Tahoma"/>
                        <w:sz w:val="14"/>
                        <w:szCs w:val="16"/>
                      </w:rPr>
                      <w:fldChar w:fldCharType="end"/>
                    </w:r>
                    <w:r w:rsidRPr="003205FF">
                      <w:rPr>
                        <w:rFonts w:ascii="Tahoma" w:hAnsi="Tahoma" w:cs="Tahoma"/>
                        <w:sz w:val="12"/>
                        <w:szCs w:val="16"/>
                        <w:lang w:val="es-ES"/>
                      </w:rPr>
                      <w:t xml:space="preserve"> de </w:t>
                    </w:r>
                    <w:fldSimple w:instr="NUMPAGES  \* Arabic  \* MERGEFORMAT">
                      <w:r w:rsidR="007C2C0B" w:rsidRPr="007C2C0B">
                        <w:rPr>
                          <w:rFonts w:ascii="Tahoma" w:hAnsi="Tahoma" w:cs="Tahoma"/>
                          <w:noProof/>
                          <w:sz w:val="14"/>
                          <w:szCs w:val="16"/>
                          <w:lang w:val="es-ES"/>
                        </w:rPr>
                        <w:t>8</w:t>
                      </w:r>
                    </w:fldSimple>
                  </w:p>
                </w:txbxContent>
              </v:textbox>
            </v:shape>
          </w:pict>
        </mc:Fallback>
      </mc:AlternateContent>
    </w:r>
    <w:r>
      <w:rPr>
        <w:rFonts w:ascii="Tahoma" w:hAnsi="Tahoma" w:cs="Tahoma"/>
        <w:noProof/>
        <w:sz w:val="14"/>
        <w:szCs w:val="20"/>
      </w:rPr>
      <mc:AlternateContent>
        <mc:Choice Requires="wps">
          <w:drawing>
            <wp:anchor distT="0" distB="0" distL="114300" distR="114300" simplePos="0" relativeHeight="251662336" behindDoc="0" locked="0" layoutInCell="1" allowOverlap="1" wp14:anchorId="677E55C4" wp14:editId="74AD3B3C">
              <wp:simplePos x="0" y="0"/>
              <wp:positionH relativeFrom="column">
                <wp:posOffset>3162935</wp:posOffset>
              </wp:positionH>
              <wp:positionV relativeFrom="paragraph">
                <wp:posOffset>79375</wp:posOffset>
              </wp:positionV>
              <wp:extent cx="3453130" cy="1376045"/>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3130" cy="1376045"/>
                      </a:xfrm>
                      <a:prstGeom prst="rect">
                        <a:avLst/>
                      </a:prstGeom>
                      <a:noFill/>
                      <a:ln w="9525">
                        <a:noFill/>
                        <a:miter lim="800000"/>
                        <a:headEnd/>
                        <a:tailEnd/>
                      </a:ln>
                    </wps:spPr>
                    <wps:txbx>
                      <w:txbxContent>
                        <w:p w:rsidR="003B70A9" w:rsidRDefault="003B70A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7E55C4" id="_x0000_s1027" type="#_x0000_t202" style="position:absolute;margin-left:249.05pt;margin-top:6.25pt;width:271.9pt;height:10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" filled="f" stroked="f">
              <v:textbox>
                <w:txbxContent>
                  <w:p w:rsidR="003B70A9" w:rsidRDefault="003B70A9"/>
                </w:txbxContent>
              </v:textbox>
            </v:shape>
          </w:pict>
        </mc:Fallback>
      </mc:AlternateContent>
    </w:r>
  </w:p>
  <w:p w:rsidR="003B70A9" w:rsidRPr="00070555" w:rsidRDefault="003B70A9">
    <w:pPr>
      <w:pStyle w:val="Piedepgina"/>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6432" behindDoc="0" locked="0" layoutInCell="1" allowOverlap="1" wp14:anchorId="34C65061" wp14:editId="37065C26">
              <wp:simplePos x="0" y="0"/>
              <wp:positionH relativeFrom="column">
                <wp:posOffset>-157480</wp:posOffset>
              </wp:positionH>
              <wp:positionV relativeFrom="paragraph">
                <wp:posOffset>6350</wp:posOffset>
              </wp:positionV>
              <wp:extent cx="2827020" cy="1309370"/>
              <wp:effectExtent l="0" t="0" r="0" b="5080"/>
              <wp:wrapNone/>
              <wp:docPr id="2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7020" cy="1309370"/>
                      </a:xfrm>
                      <a:prstGeom prst="rect">
                        <a:avLst/>
                      </a:prstGeom>
                      <a:noFill/>
                      <a:ln w="9525">
                        <a:noFill/>
                        <a:miter lim="800000"/>
                        <a:headEnd/>
                        <a:tailEnd/>
                      </a:ln>
                    </wps:spPr>
                    <wps:txbx>
                      <w:txbxContent>
                        <w:p w:rsidR="003B70A9" w:rsidRDefault="003B70A9"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w:t>
                          </w:r>
                        </w:p>
                        <w:p w:rsidR="003B70A9" w:rsidRDefault="003B70A9"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3B70A9" w:rsidRPr="00BB3D88" w:rsidRDefault="003B70A9"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3B70A9" w:rsidRPr="003205FF" w:rsidRDefault="007C2C0B"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1" w:history="1">
                            <w:r w:rsidR="003B70A9" w:rsidRPr="003205FF">
                              <w:rPr>
                                <w:rStyle w:val="Hipervnculo"/>
                                <w:rFonts w:ascii="Tahoma" w:hAnsi="Tahoma" w:cs="Tahoma"/>
                                <w:color w:val="auto"/>
                                <w:sz w:val="18"/>
                                <w:szCs w:val="18"/>
                                <w:u w:val="none"/>
                              </w:rPr>
                              <w:t>despacho.contraloria@contraloriatolima.gov.co</w:t>
                            </w:r>
                          </w:hyperlink>
                        </w:p>
                        <w:p w:rsidR="003B70A9" w:rsidRPr="000352F0" w:rsidRDefault="003B70A9"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Web-</w:t>
                          </w:r>
                          <w:proofErr w:type="spellStart"/>
                          <w:r w:rsidRPr="000352F0">
                            <w:rPr>
                              <w:rFonts w:ascii="Tahoma" w:hAnsi="Tahoma" w:cs="Tahoma"/>
                              <w:sz w:val="18"/>
                              <w:szCs w:val="18"/>
                            </w:rPr>
                            <w:t>Site</w:t>
                          </w:r>
                          <w:proofErr w:type="spellEnd"/>
                          <w:r w:rsidRPr="000352F0">
                            <w:rPr>
                              <w:rFonts w:ascii="Tahoma" w:hAnsi="Tahoma" w:cs="Tahoma"/>
                              <w:sz w:val="18"/>
                              <w:szCs w:val="18"/>
                            </w:rPr>
                            <w:t xml:space="preserve">:  </w:t>
                          </w:r>
                          <w:hyperlink r:id="rId2" w:history="1">
                            <w:r w:rsidRPr="000352F0">
                              <w:rPr>
                                <w:rStyle w:val="Hipervnculo"/>
                                <w:rFonts w:ascii="Tahoma" w:hAnsi="Tahoma" w:cs="Tahoma"/>
                                <w:color w:val="auto"/>
                                <w:sz w:val="18"/>
                                <w:szCs w:val="18"/>
                                <w:u w:val="none"/>
                              </w:rPr>
                              <w:t>www.contraloriatolima.gov.co</w:t>
                            </w:r>
                          </w:hyperlink>
                        </w:p>
                        <w:p w:rsidR="003B70A9" w:rsidRPr="00BB3D88" w:rsidRDefault="003B70A9"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3B70A9" w:rsidRPr="00A926CE" w:rsidRDefault="003B70A9"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C65061" id="_x0000_s1028" type="#_x0000_t202" style="position:absolute;margin-left:-12.4pt;margin-top:.5pt;width:222.6pt;height:103.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" filled="f" stroked="f">
              <v:textbox>
                <w:txbxContent>
                  <w:p w:rsidR="003B70A9" w:rsidRDefault="003B70A9"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w:t>
                    </w:r>
                  </w:p>
                  <w:p w:rsidR="003B70A9" w:rsidRDefault="003B70A9"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3B70A9" w:rsidRPr="00BB3D88" w:rsidRDefault="003B70A9"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3B70A9" w:rsidRPr="003205FF" w:rsidRDefault="007C2C0B"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3" w:history="1">
                      <w:r w:rsidR="003B70A9" w:rsidRPr="003205FF">
                        <w:rPr>
                          <w:rStyle w:val="Hipervnculo"/>
                          <w:rFonts w:ascii="Tahoma" w:hAnsi="Tahoma" w:cs="Tahoma"/>
                          <w:color w:val="auto"/>
                          <w:sz w:val="18"/>
                          <w:szCs w:val="18"/>
                          <w:u w:val="none"/>
                        </w:rPr>
                        <w:t>despacho.contraloria@contraloriatolima.gov.co</w:t>
                      </w:r>
                    </w:hyperlink>
                  </w:p>
                  <w:p w:rsidR="003B70A9" w:rsidRPr="000352F0" w:rsidRDefault="003B70A9"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Web-</w:t>
                    </w:r>
                    <w:proofErr w:type="spellStart"/>
                    <w:r w:rsidRPr="000352F0">
                      <w:rPr>
                        <w:rFonts w:ascii="Tahoma" w:hAnsi="Tahoma" w:cs="Tahoma"/>
                        <w:sz w:val="18"/>
                        <w:szCs w:val="18"/>
                      </w:rPr>
                      <w:t>Site</w:t>
                    </w:r>
                    <w:proofErr w:type="spellEnd"/>
                    <w:r w:rsidRPr="000352F0">
                      <w:rPr>
                        <w:rFonts w:ascii="Tahoma" w:hAnsi="Tahoma" w:cs="Tahoma"/>
                        <w:sz w:val="18"/>
                        <w:szCs w:val="18"/>
                      </w:rPr>
                      <w:t xml:space="preserve">:  </w:t>
                    </w:r>
                    <w:hyperlink r:id="rId4" w:history="1">
                      <w:r w:rsidRPr="000352F0">
                        <w:rPr>
                          <w:rStyle w:val="Hipervnculo"/>
                          <w:rFonts w:ascii="Tahoma" w:hAnsi="Tahoma" w:cs="Tahoma"/>
                          <w:color w:val="auto"/>
                          <w:sz w:val="18"/>
                          <w:szCs w:val="18"/>
                          <w:u w:val="none"/>
                        </w:rPr>
                        <w:t>www.contraloriatolima.gov.co</w:t>
                      </w:r>
                    </w:hyperlink>
                  </w:p>
                  <w:p w:rsidR="003B70A9" w:rsidRPr="00BB3D88" w:rsidRDefault="003B70A9"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3B70A9" w:rsidRPr="00A926CE" w:rsidRDefault="003B70A9"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7412" w:rsidRDefault="00A77412" w:rsidP="00650A99">
      <w:r>
        <w:separator/>
      </w:r>
    </w:p>
  </w:footnote>
  <w:footnote w:type="continuationSeparator" w:id="0">
    <w:p w:rsidR="00A77412" w:rsidRDefault="00A77412" w:rsidP="00650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0A9" w:rsidRPr="00124F58" w:rsidRDefault="003B70A9">
    <w:pPr>
      <w:pStyle w:val="Encabezado"/>
      <w:rPr>
        <w:rFonts w:ascii="Tahoma" w:hAnsi="Tahoma" w:cs="Tahoma"/>
        <w:sz w:val="8"/>
      </w:rPr>
    </w:pPr>
  </w:p>
  <w:p w:rsidR="003B70A9" w:rsidRDefault="00C53D2E">
    <w:pPr>
      <w:pStyle w:val="Encabezado"/>
    </w:pPr>
    <w:r>
      <w:rPr>
        <w:noProof/>
      </w:rPr>
      <w:drawing>
        <wp:inline distT="0" distB="0" distL="0" distR="0">
          <wp:extent cx="1571625" cy="1219200"/>
          <wp:effectExtent l="0" t="0" r="9525"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 Contraloria.png"/>
                  <pic:cNvPicPr/>
                </pic:nvPicPr>
                <pic:blipFill>
                  <a:blip r:embed="rId1">
                    <a:extLst>
                      <a:ext uri="{28A0092B-C50C-407E-A947-70E740481C1C}">
                        <a14:useLocalDpi xmlns:a14="http://schemas.microsoft.com/office/drawing/2010/main" val="0"/>
                      </a:ext>
                    </a:extLst>
                  </a:blip>
                  <a:stretch>
                    <a:fillRect/>
                  </a:stretch>
                </pic:blipFill>
                <pic:spPr>
                  <a:xfrm>
                    <a:off x="0" y="0"/>
                    <a:ext cx="1571625" cy="1219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3156B8"/>
    <w:multiLevelType w:val="hybridMultilevel"/>
    <w:tmpl w:val="B0764DAE"/>
    <w:lvl w:ilvl="0" w:tplc="66E002CC">
      <w:start w:val="5"/>
      <w:numFmt w:val="bullet"/>
      <w:lvlText w:val="-"/>
      <w:lvlJc w:val="left"/>
      <w:pPr>
        <w:ind w:left="720" w:hanging="360"/>
      </w:pPr>
      <w:rPr>
        <w:rFonts w:ascii="Tahoma" w:eastAsia="Arial"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2510101F"/>
    <w:multiLevelType w:val="multilevel"/>
    <w:tmpl w:val="000C0E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3AD24576"/>
    <w:multiLevelType w:val="hybridMultilevel"/>
    <w:tmpl w:val="E7622078"/>
    <w:lvl w:ilvl="0" w:tplc="AE32283C">
      <w:start w:val="14"/>
      <w:numFmt w:val="bullet"/>
      <w:lvlText w:val="-"/>
      <w:lvlJc w:val="left"/>
      <w:pPr>
        <w:ind w:left="720" w:hanging="360"/>
      </w:pPr>
      <w:rPr>
        <w:rFonts w:ascii="Tahoma" w:eastAsia="Arial"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40F10F79"/>
    <w:multiLevelType w:val="hybridMultilevel"/>
    <w:tmpl w:val="102A8890"/>
    <w:lvl w:ilvl="0" w:tplc="B3429052">
      <w:numFmt w:val="bullet"/>
      <w:lvlText w:val="-"/>
      <w:lvlJc w:val="left"/>
      <w:pPr>
        <w:ind w:left="720" w:hanging="360"/>
      </w:pPr>
      <w:rPr>
        <w:rFonts w:ascii="Tahoma" w:eastAsia="Arial"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698033D0"/>
    <w:multiLevelType w:val="multilevel"/>
    <w:tmpl w:val="000C0E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76C3616D"/>
    <w:multiLevelType w:val="hybridMultilevel"/>
    <w:tmpl w:val="4D004C7A"/>
    <w:lvl w:ilvl="0" w:tplc="280488D2">
      <w:start w:val="1110"/>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5"/>
  </w:num>
  <w:num w:numId="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A99"/>
    <w:rsid w:val="00004A71"/>
    <w:rsid w:val="00014DDB"/>
    <w:rsid w:val="000167CA"/>
    <w:rsid w:val="00016C9F"/>
    <w:rsid w:val="00025419"/>
    <w:rsid w:val="0003468E"/>
    <w:rsid w:val="000352F0"/>
    <w:rsid w:val="000359D2"/>
    <w:rsid w:val="00043E5E"/>
    <w:rsid w:val="00044B50"/>
    <w:rsid w:val="000467A1"/>
    <w:rsid w:val="000479B3"/>
    <w:rsid w:val="0005757F"/>
    <w:rsid w:val="00062A7C"/>
    <w:rsid w:val="00070555"/>
    <w:rsid w:val="0007281C"/>
    <w:rsid w:val="00073152"/>
    <w:rsid w:val="000732A3"/>
    <w:rsid w:val="00074463"/>
    <w:rsid w:val="00081AAB"/>
    <w:rsid w:val="00084FFA"/>
    <w:rsid w:val="000913E2"/>
    <w:rsid w:val="00091C5F"/>
    <w:rsid w:val="000A4FDA"/>
    <w:rsid w:val="000A5F72"/>
    <w:rsid w:val="000B2584"/>
    <w:rsid w:val="000C1178"/>
    <w:rsid w:val="000C640F"/>
    <w:rsid w:val="000C6472"/>
    <w:rsid w:val="000C699D"/>
    <w:rsid w:val="000D2062"/>
    <w:rsid w:val="000D715E"/>
    <w:rsid w:val="000E117C"/>
    <w:rsid w:val="000E1460"/>
    <w:rsid w:val="000E46FA"/>
    <w:rsid w:val="000F17B4"/>
    <w:rsid w:val="000F4FA1"/>
    <w:rsid w:val="001077DC"/>
    <w:rsid w:val="00124F58"/>
    <w:rsid w:val="001301DF"/>
    <w:rsid w:val="00131E4E"/>
    <w:rsid w:val="00132C47"/>
    <w:rsid w:val="0013431C"/>
    <w:rsid w:val="001361E3"/>
    <w:rsid w:val="0014091C"/>
    <w:rsid w:val="00144609"/>
    <w:rsid w:val="001531E5"/>
    <w:rsid w:val="00154430"/>
    <w:rsid w:val="001605A0"/>
    <w:rsid w:val="00160B31"/>
    <w:rsid w:val="00162584"/>
    <w:rsid w:val="001666F5"/>
    <w:rsid w:val="0017250D"/>
    <w:rsid w:val="00172819"/>
    <w:rsid w:val="001941C8"/>
    <w:rsid w:val="00194E6D"/>
    <w:rsid w:val="001A5473"/>
    <w:rsid w:val="001B1018"/>
    <w:rsid w:val="001B1436"/>
    <w:rsid w:val="001B23E7"/>
    <w:rsid w:val="001B33EB"/>
    <w:rsid w:val="001B7E9B"/>
    <w:rsid w:val="001D30AE"/>
    <w:rsid w:val="001D7FB7"/>
    <w:rsid w:val="001E0386"/>
    <w:rsid w:val="001E19D5"/>
    <w:rsid w:val="001E2459"/>
    <w:rsid w:val="001E67BD"/>
    <w:rsid w:val="001E6C74"/>
    <w:rsid w:val="001F3E0C"/>
    <w:rsid w:val="002049C5"/>
    <w:rsid w:val="00204E7B"/>
    <w:rsid w:val="00216974"/>
    <w:rsid w:val="00224140"/>
    <w:rsid w:val="00226503"/>
    <w:rsid w:val="002467D6"/>
    <w:rsid w:val="00250B2A"/>
    <w:rsid w:val="00254A87"/>
    <w:rsid w:val="002608D4"/>
    <w:rsid w:val="002644E3"/>
    <w:rsid w:val="00267A53"/>
    <w:rsid w:val="002702FE"/>
    <w:rsid w:val="00273691"/>
    <w:rsid w:val="002751D2"/>
    <w:rsid w:val="0028046B"/>
    <w:rsid w:val="00283BCF"/>
    <w:rsid w:val="002855A9"/>
    <w:rsid w:val="00293B22"/>
    <w:rsid w:val="00294FB6"/>
    <w:rsid w:val="00297AD1"/>
    <w:rsid w:val="002A1762"/>
    <w:rsid w:val="002A5283"/>
    <w:rsid w:val="002C24CB"/>
    <w:rsid w:val="002C31ED"/>
    <w:rsid w:val="002D5932"/>
    <w:rsid w:val="002D62AF"/>
    <w:rsid w:val="002E1436"/>
    <w:rsid w:val="002E7240"/>
    <w:rsid w:val="002E7B95"/>
    <w:rsid w:val="002F54E8"/>
    <w:rsid w:val="002F66A6"/>
    <w:rsid w:val="0030204D"/>
    <w:rsid w:val="003026A2"/>
    <w:rsid w:val="00303824"/>
    <w:rsid w:val="00306CC6"/>
    <w:rsid w:val="003205FF"/>
    <w:rsid w:val="00321EC8"/>
    <w:rsid w:val="003232FD"/>
    <w:rsid w:val="003305B2"/>
    <w:rsid w:val="00332DE4"/>
    <w:rsid w:val="00341B3E"/>
    <w:rsid w:val="00344473"/>
    <w:rsid w:val="00345BE2"/>
    <w:rsid w:val="00351487"/>
    <w:rsid w:val="00356B3F"/>
    <w:rsid w:val="00363A28"/>
    <w:rsid w:val="00367CB1"/>
    <w:rsid w:val="00372F40"/>
    <w:rsid w:val="003753CD"/>
    <w:rsid w:val="00375CC7"/>
    <w:rsid w:val="0039183D"/>
    <w:rsid w:val="00391C14"/>
    <w:rsid w:val="00397484"/>
    <w:rsid w:val="00397766"/>
    <w:rsid w:val="003A2BA9"/>
    <w:rsid w:val="003A5822"/>
    <w:rsid w:val="003B11DD"/>
    <w:rsid w:val="003B70A9"/>
    <w:rsid w:val="003B72A8"/>
    <w:rsid w:val="003C0774"/>
    <w:rsid w:val="003C5E57"/>
    <w:rsid w:val="003D46BC"/>
    <w:rsid w:val="003D499A"/>
    <w:rsid w:val="003E25A9"/>
    <w:rsid w:val="003F5E08"/>
    <w:rsid w:val="00400773"/>
    <w:rsid w:val="00400FD4"/>
    <w:rsid w:val="004032C1"/>
    <w:rsid w:val="00407637"/>
    <w:rsid w:val="004120E2"/>
    <w:rsid w:val="0042265A"/>
    <w:rsid w:val="00426FB0"/>
    <w:rsid w:val="00430D77"/>
    <w:rsid w:val="00440EAB"/>
    <w:rsid w:val="004514BE"/>
    <w:rsid w:val="00452C5F"/>
    <w:rsid w:val="00452E65"/>
    <w:rsid w:val="00454B8B"/>
    <w:rsid w:val="0046040A"/>
    <w:rsid w:val="00461871"/>
    <w:rsid w:val="00463491"/>
    <w:rsid w:val="00466271"/>
    <w:rsid w:val="0046718C"/>
    <w:rsid w:val="00467508"/>
    <w:rsid w:val="00467595"/>
    <w:rsid w:val="00480FCA"/>
    <w:rsid w:val="0048203B"/>
    <w:rsid w:val="0048283D"/>
    <w:rsid w:val="00492EC9"/>
    <w:rsid w:val="0049303C"/>
    <w:rsid w:val="00496461"/>
    <w:rsid w:val="004A00E3"/>
    <w:rsid w:val="004B3739"/>
    <w:rsid w:val="004C10FE"/>
    <w:rsid w:val="004C250E"/>
    <w:rsid w:val="004C27B6"/>
    <w:rsid w:val="004C5434"/>
    <w:rsid w:val="004E17F3"/>
    <w:rsid w:val="004E3F57"/>
    <w:rsid w:val="004E4900"/>
    <w:rsid w:val="004E585C"/>
    <w:rsid w:val="004F2F93"/>
    <w:rsid w:val="004F4C50"/>
    <w:rsid w:val="00506345"/>
    <w:rsid w:val="00516E68"/>
    <w:rsid w:val="0052074A"/>
    <w:rsid w:val="00520FA4"/>
    <w:rsid w:val="00523288"/>
    <w:rsid w:val="00525027"/>
    <w:rsid w:val="0052650A"/>
    <w:rsid w:val="00526D03"/>
    <w:rsid w:val="005273C4"/>
    <w:rsid w:val="005279E8"/>
    <w:rsid w:val="00551920"/>
    <w:rsid w:val="00552A0E"/>
    <w:rsid w:val="0055609C"/>
    <w:rsid w:val="00560B0C"/>
    <w:rsid w:val="00560CA3"/>
    <w:rsid w:val="00562B5C"/>
    <w:rsid w:val="00563F32"/>
    <w:rsid w:val="005848ED"/>
    <w:rsid w:val="00585BCF"/>
    <w:rsid w:val="00585ED0"/>
    <w:rsid w:val="00590A7E"/>
    <w:rsid w:val="005916D2"/>
    <w:rsid w:val="00595ED2"/>
    <w:rsid w:val="005A36ED"/>
    <w:rsid w:val="005B6F12"/>
    <w:rsid w:val="005C3743"/>
    <w:rsid w:val="005D7060"/>
    <w:rsid w:val="005E1DE9"/>
    <w:rsid w:val="005E5E78"/>
    <w:rsid w:val="005F356A"/>
    <w:rsid w:val="00603AAD"/>
    <w:rsid w:val="00605900"/>
    <w:rsid w:val="006068E9"/>
    <w:rsid w:val="006074FF"/>
    <w:rsid w:val="00617A76"/>
    <w:rsid w:val="00617E98"/>
    <w:rsid w:val="00630301"/>
    <w:rsid w:val="006308A5"/>
    <w:rsid w:val="00644A95"/>
    <w:rsid w:val="00645EE1"/>
    <w:rsid w:val="00650A99"/>
    <w:rsid w:val="00652DA3"/>
    <w:rsid w:val="0065368E"/>
    <w:rsid w:val="00654211"/>
    <w:rsid w:val="00670D69"/>
    <w:rsid w:val="00672971"/>
    <w:rsid w:val="006756E8"/>
    <w:rsid w:val="0067758A"/>
    <w:rsid w:val="00682027"/>
    <w:rsid w:val="00687B70"/>
    <w:rsid w:val="00687BDD"/>
    <w:rsid w:val="00692975"/>
    <w:rsid w:val="006A4058"/>
    <w:rsid w:val="006A5FCB"/>
    <w:rsid w:val="006B765E"/>
    <w:rsid w:val="006C4EF5"/>
    <w:rsid w:val="006D2B4A"/>
    <w:rsid w:val="006E3017"/>
    <w:rsid w:val="00700DB0"/>
    <w:rsid w:val="0070120A"/>
    <w:rsid w:val="007029D0"/>
    <w:rsid w:val="007062D9"/>
    <w:rsid w:val="00706545"/>
    <w:rsid w:val="00711A64"/>
    <w:rsid w:val="00745063"/>
    <w:rsid w:val="00747180"/>
    <w:rsid w:val="00754337"/>
    <w:rsid w:val="00756DC9"/>
    <w:rsid w:val="00764ABD"/>
    <w:rsid w:val="00770276"/>
    <w:rsid w:val="00770ADC"/>
    <w:rsid w:val="00771928"/>
    <w:rsid w:val="00772D94"/>
    <w:rsid w:val="00773282"/>
    <w:rsid w:val="00796DDA"/>
    <w:rsid w:val="00796DE0"/>
    <w:rsid w:val="007B374A"/>
    <w:rsid w:val="007B4540"/>
    <w:rsid w:val="007B4882"/>
    <w:rsid w:val="007B70F7"/>
    <w:rsid w:val="007C2C0B"/>
    <w:rsid w:val="007C4270"/>
    <w:rsid w:val="007E6A80"/>
    <w:rsid w:val="007F4255"/>
    <w:rsid w:val="007F7C04"/>
    <w:rsid w:val="00800EEF"/>
    <w:rsid w:val="008036D7"/>
    <w:rsid w:val="00813523"/>
    <w:rsid w:val="00814D3D"/>
    <w:rsid w:val="00815D0B"/>
    <w:rsid w:val="00820529"/>
    <w:rsid w:val="00821EDD"/>
    <w:rsid w:val="00827082"/>
    <w:rsid w:val="00832014"/>
    <w:rsid w:val="008326D2"/>
    <w:rsid w:val="008544D4"/>
    <w:rsid w:val="00862966"/>
    <w:rsid w:val="00872CA8"/>
    <w:rsid w:val="008761A0"/>
    <w:rsid w:val="00897455"/>
    <w:rsid w:val="008A0D33"/>
    <w:rsid w:val="008A1B70"/>
    <w:rsid w:val="008A5D7F"/>
    <w:rsid w:val="008B1D78"/>
    <w:rsid w:val="008C7B52"/>
    <w:rsid w:val="008E2ADB"/>
    <w:rsid w:val="008E40B7"/>
    <w:rsid w:val="008E6775"/>
    <w:rsid w:val="008E691C"/>
    <w:rsid w:val="008F6815"/>
    <w:rsid w:val="009058D0"/>
    <w:rsid w:val="00907660"/>
    <w:rsid w:val="00914565"/>
    <w:rsid w:val="00921D04"/>
    <w:rsid w:val="00926B45"/>
    <w:rsid w:val="009339AC"/>
    <w:rsid w:val="00934719"/>
    <w:rsid w:val="00934CE3"/>
    <w:rsid w:val="009403FC"/>
    <w:rsid w:val="00942761"/>
    <w:rsid w:val="00942F02"/>
    <w:rsid w:val="00943029"/>
    <w:rsid w:val="00951CD3"/>
    <w:rsid w:val="00957662"/>
    <w:rsid w:val="009606B3"/>
    <w:rsid w:val="00966EAD"/>
    <w:rsid w:val="009768F3"/>
    <w:rsid w:val="00986273"/>
    <w:rsid w:val="00990B51"/>
    <w:rsid w:val="00991F22"/>
    <w:rsid w:val="009C0615"/>
    <w:rsid w:val="009C2429"/>
    <w:rsid w:val="009D7ECE"/>
    <w:rsid w:val="009F0EF0"/>
    <w:rsid w:val="009F3F48"/>
    <w:rsid w:val="00A012F0"/>
    <w:rsid w:val="00A04FA7"/>
    <w:rsid w:val="00A0586F"/>
    <w:rsid w:val="00A3189F"/>
    <w:rsid w:val="00A32BD8"/>
    <w:rsid w:val="00A3306A"/>
    <w:rsid w:val="00A34FD5"/>
    <w:rsid w:val="00A43B37"/>
    <w:rsid w:val="00A44F64"/>
    <w:rsid w:val="00A47CA0"/>
    <w:rsid w:val="00A54DA0"/>
    <w:rsid w:val="00A57CC2"/>
    <w:rsid w:val="00A642C7"/>
    <w:rsid w:val="00A65971"/>
    <w:rsid w:val="00A7456E"/>
    <w:rsid w:val="00A7495A"/>
    <w:rsid w:val="00A77412"/>
    <w:rsid w:val="00A839F4"/>
    <w:rsid w:val="00A84657"/>
    <w:rsid w:val="00A85837"/>
    <w:rsid w:val="00A926CE"/>
    <w:rsid w:val="00A9371D"/>
    <w:rsid w:val="00A97496"/>
    <w:rsid w:val="00AA75DD"/>
    <w:rsid w:val="00AB37B1"/>
    <w:rsid w:val="00AC2B0C"/>
    <w:rsid w:val="00AC6DD0"/>
    <w:rsid w:val="00AD4CE9"/>
    <w:rsid w:val="00AD56DB"/>
    <w:rsid w:val="00AE45E6"/>
    <w:rsid w:val="00AF71D3"/>
    <w:rsid w:val="00B0252C"/>
    <w:rsid w:val="00B03570"/>
    <w:rsid w:val="00B11E2E"/>
    <w:rsid w:val="00B1596A"/>
    <w:rsid w:val="00B179EC"/>
    <w:rsid w:val="00B17D06"/>
    <w:rsid w:val="00B229DE"/>
    <w:rsid w:val="00B235FD"/>
    <w:rsid w:val="00B242D3"/>
    <w:rsid w:val="00B245DE"/>
    <w:rsid w:val="00B258AA"/>
    <w:rsid w:val="00B261B4"/>
    <w:rsid w:val="00B34497"/>
    <w:rsid w:val="00B430BE"/>
    <w:rsid w:val="00B43F69"/>
    <w:rsid w:val="00B5291B"/>
    <w:rsid w:val="00B5303D"/>
    <w:rsid w:val="00B6483D"/>
    <w:rsid w:val="00B65897"/>
    <w:rsid w:val="00B67569"/>
    <w:rsid w:val="00B7024B"/>
    <w:rsid w:val="00B74F06"/>
    <w:rsid w:val="00B773B4"/>
    <w:rsid w:val="00B83BF2"/>
    <w:rsid w:val="00B84B0A"/>
    <w:rsid w:val="00B8540B"/>
    <w:rsid w:val="00B86B69"/>
    <w:rsid w:val="00B971AE"/>
    <w:rsid w:val="00B97673"/>
    <w:rsid w:val="00BA5374"/>
    <w:rsid w:val="00BB2EB5"/>
    <w:rsid w:val="00BB3D88"/>
    <w:rsid w:val="00BC5D7D"/>
    <w:rsid w:val="00BD188C"/>
    <w:rsid w:val="00BD3082"/>
    <w:rsid w:val="00BE325A"/>
    <w:rsid w:val="00C02195"/>
    <w:rsid w:val="00C0423C"/>
    <w:rsid w:val="00C06948"/>
    <w:rsid w:val="00C17C45"/>
    <w:rsid w:val="00C20CA8"/>
    <w:rsid w:val="00C22EC1"/>
    <w:rsid w:val="00C256AD"/>
    <w:rsid w:val="00C27399"/>
    <w:rsid w:val="00C276A2"/>
    <w:rsid w:val="00C334D1"/>
    <w:rsid w:val="00C35423"/>
    <w:rsid w:val="00C36BE7"/>
    <w:rsid w:val="00C404DC"/>
    <w:rsid w:val="00C43064"/>
    <w:rsid w:val="00C44433"/>
    <w:rsid w:val="00C53D2E"/>
    <w:rsid w:val="00C54674"/>
    <w:rsid w:val="00C661A2"/>
    <w:rsid w:val="00C6685D"/>
    <w:rsid w:val="00C70370"/>
    <w:rsid w:val="00C81FC2"/>
    <w:rsid w:val="00C83948"/>
    <w:rsid w:val="00C86E28"/>
    <w:rsid w:val="00C967D9"/>
    <w:rsid w:val="00CA340D"/>
    <w:rsid w:val="00CB47E0"/>
    <w:rsid w:val="00CC0170"/>
    <w:rsid w:val="00CC38D6"/>
    <w:rsid w:val="00CC6242"/>
    <w:rsid w:val="00CC74DC"/>
    <w:rsid w:val="00CD5CCB"/>
    <w:rsid w:val="00CE2162"/>
    <w:rsid w:val="00CE3D10"/>
    <w:rsid w:val="00CE6524"/>
    <w:rsid w:val="00CF0493"/>
    <w:rsid w:val="00CF6745"/>
    <w:rsid w:val="00D21A6B"/>
    <w:rsid w:val="00D42439"/>
    <w:rsid w:val="00D62F2D"/>
    <w:rsid w:val="00D718F8"/>
    <w:rsid w:val="00D71C09"/>
    <w:rsid w:val="00D7395F"/>
    <w:rsid w:val="00D774B6"/>
    <w:rsid w:val="00D81436"/>
    <w:rsid w:val="00D935FE"/>
    <w:rsid w:val="00DA07E0"/>
    <w:rsid w:val="00DA135E"/>
    <w:rsid w:val="00DA338E"/>
    <w:rsid w:val="00DA76D0"/>
    <w:rsid w:val="00DB2278"/>
    <w:rsid w:val="00DD0981"/>
    <w:rsid w:val="00DD5CA9"/>
    <w:rsid w:val="00DD7C88"/>
    <w:rsid w:val="00DF40A6"/>
    <w:rsid w:val="00DF734D"/>
    <w:rsid w:val="00E00EAB"/>
    <w:rsid w:val="00E06024"/>
    <w:rsid w:val="00E16EF6"/>
    <w:rsid w:val="00E35F67"/>
    <w:rsid w:val="00E37DA4"/>
    <w:rsid w:val="00E438FA"/>
    <w:rsid w:val="00E44E11"/>
    <w:rsid w:val="00E562E9"/>
    <w:rsid w:val="00E71D71"/>
    <w:rsid w:val="00E745B9"/>
    <w:rsid w:val="00E80CF1"/>
    <w:rsid w:val="00E86EDA"/>
    <w:rsid w:val="00EB2E65"/>
    <w:rsid w:val="00EC5E0C"/>
    <w:rsid w:val="00ED18CB"/>
    <w:rsid w:val="00EE2B43"/>
    <w:rsid w:val="00EE4C2D"/>
    <w:rsid w:val="00F057E1"/>
    <w:rsid w:val="00F067EF"/>
    <w:rsid w:val="00F10DEC"/>
    <w:rsid w:val="00F11CE8"/>
    <w:rsid w:val="00F152E9"/>
    <w:rsid w:val="00F36ED9"/>
    <w:rsid w:val="00F413A2"/>
    <w:rsid w:val="00F57D5F"/>
    <w:rsid w:val="00F64422"/>
    <w:rsid w:val="00F70169"/>
    <w:rsid w:val="00F717EE"/>
    <w:rsid w:val="00F74A4C"/>
    <w:rsid w:val="00F762AD"/>
    <w:rsid w:val="00F76AA1"/>
    <w:rsid w:val="00F87F87"/>
    <w:rsid w:val="00F919A7"/>
    <w:rsid w:val="00FA4C6D"/>
    <w:rsid w:val="00FA64A6"/>
    <w:rsid w:val="00FB1D70"/>
    <w:rsid w:val="00FC413F"/>
    <w:rsid w:val="00FD1869"/>
    <w:rsid w:val="00FD52EC"/>
    <w:rsid w:val="00FE290A"/>
    <w:rsid w:val="00FE438F"/>
    <w:rsid w:val="00FE5384"/>
    <w:rsid w:val="00FF3D5F"/>
    <w:rsid w:val="00FF5EDB"/>
    <w:rsid w:val="00FF671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6EC4C23-9CD8-4FFB-8024-018E8506B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after="4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2AF"/>
    <w:rPr>
      <w:rFonts w:ascii="Arial" w:eastAsia="Arial" w:hAnsi="Arial" w:cs="Arial"/>
      <w:color w:val="000000"/>
      <w:lang w:eastAsia="es-CO"/>
    </w:rPr>
  </w:style>
  <w:style w:type="paragraph" w:styleId="Ttulo1">
    <w:name w:val="heading 1"/>
    <w:basedOn w:val="Normal"/>
    <w:next w:val="Normal"/>
    <w:link w:val="Ttulo1Car"/>
    <w:qFormat/>
    <w:rsid w:val="003A5822"/>
    <w:pPr>
      <w:keepNext/>
      <w:overflowPunct w:val="0"/>
      <w:autoSpaceDE w:val="0"/>
      <w:autoSpaceDN w:val="0"/>
      <w:adjustRightInd w:val="0"/>
      <w:spacing w:before="240" w:after="60"/>
      <w:textAlignment w:val="baseline"/>
      <w:outlineLvl w:val="0"/>
    </w:pPr>
    <w:rPr>
      <w:rFonts w:ascii="Cambria" w:eastAsia="Times New Roman" w:hAnsi="Cambria" w:cs="Times New Roman"/>
      <w:b/>
      <w:bCs/>
      <w:color w:val="auto"/>
      <w:kern w:val="32"/>
      <w:sz w:val="32"/>
      <w:szCs w:val="32"/>
      <w:lang w:val="es-ES" w:eastAsia="es-ES"/>
    </w:rPr>
  </w:style>
  <w:style w:type="paragraph" w:styleId="Ttulo2">
    <w:name w:val="heading 2"/>
    <w:basedOn w:val="Normal"/>
    <w:link w:val="Ttulo2Car"/>
    <w:qFormat/>
    <w:rsid w:val="003A5822"/>
    <w:pPr>
      <w:overflowPunct w:val="0"/>
      <w:autoSpaceDE w:val="0"/>
      <w:autoSpaceDN w:val="0"/>
      <w:adjustRightInd w:val="0"/>
      <w:spacing w:after="100"/>
      <w:textAlignment w:val="baseline"/>
      <w:outlineLvl w:val="1"/>
    </w:pPr>
    <w:rPr>
      <w:rFonts w:ascii="Times New Roman" w:eastAsia="Times New Roman" w:hAnsi="Times New Roman" w:cs="Times New Roman"/>
      <w:b/>
      <w:color w:val="auto"/>
      <w:sz w:val="36"/>
      <w:szCs w:val="20"/>
      <w:lang w:val="es-ES" w:eastAsia="es-ES"/>
    </w:rPr>
  </w:style>
  <w:style w:type="paragraph" w:styleId="Ttulo3">
    <w:name w:val="heading 3"/>
    <w:basedOn w:val="Normal"/>
    <w:link w:val="Ttulo3Car"/>
    <w:qFormat/>
    <w:rsid w:val="003A5822"/>
    <w:pPr>
      <w:overflowPunct w:val="0"/>
      <w:autoSpaceDE w:val="0"/>
      <w:autoSpaceDN w:val="0"/>
      <w:adjustRightInd w:val="0"/>
      <w:spacing w:after="100"/>
      <w:textAlignment w:val="baseline"/>
      <w:outlineLvl w:val="2"/>
    </w:pPr>
    <w:rPr>
      <w:rFonts w:ascii="Times New Roman" w:eastAsia="Times New Roman" w:hAnsi="Times New Roman" w:cs="Times New Roman"/>
      <w:b/>
      <w:color w:val="auto"/>
      <w:sz w:val="27"/>
      <w:szCs w:val="20"/>
      <w:lang w:val="es-ES" w:eastAsia="es-ES"/>
    </w:rPr>
  </w:style>
  <w:style w:type="paragraph" w:styleId="Ttulo5">
    <w:name w:val="heading 5"/>
    <w:basedOn w:val="Normal"/>
    <w:next w:val="Normal"/>
    <w:link w:val="Ttulo5Car"/>
    <w:uiPriority w:val="9"/>
    <w:semiHidden/>
    <w:unhideWhenUsed/>
    <w:qFormat/>
    <w:rsid w:val="003A5822"/>
    <w:pPr>
      <w:overflowPunct w:val="0"/>
      <w:autoSpaceDE w:val="0"/>
      <w:autoSpaceDN w:val="0"/>
      <w:adjustRightInd w:val="0"/>
      <w:spacing w:before="240" w:after="60"/>
      <w:textAlignment w:val="baseline"/>
      <w:outlineLvl w:val="4"/>
    </w:pPr>
    <w:rPr>
      <w:rFonts w:ascii="Calibri" w:eastAsia="Times New Roman" w:hAnsi="Calibri" w:cs="Times New Roman"/>
      <w:b/>
      <w:bCs/>
      <w:i/>
      <w:iCs/>
      <w:color w:val="auto"/>
      <w:sz w:val="26"/>
      <w:szCs w:val="26"/>
      <w:lang w:val="es-ES" w:eastAsia="es-ES"/>
    </w:rPr>
  </w:style>
  <w:style w:type="paragraph" w:styleId="Ttulo6">
    <w:name w:val="heading 6"/>
    <w:basedOn w:val="Normal"/>
    <w:next w:val="Normal"/>
    <w:link w:val="Ttulo6Car"/>
    <w:uiPriority w:val="9"/>
    <w:semiHidden/>
    <w:unhideWhenUsed/>
    <w:qFormat/>
    <w:rsid w:val="003A5822"/>
    <w:pPr>
      <w:overflowPunct w:val="0"/>
      <w:autoSpaceDE w:val="0"/>
      <w:autoSpaceDN w:val="0"/>
      <w:adjustRightInd w:val="0"/>
      <w:spacing w:before="240" w:after="60"/>
      <w:textAlignment w:val="baseline"/>
      <w:outlineLvl w:val="5"/>
    </w:pPr>
    <w:rPr>
      <w:rFonts w:ascii="Calibri" w:eastAsia="Times New Roman" w:hAnsi="Calibri" w:cs="Times New Roman"/>
      <w:b/>
      <w:bCs/>
      <w:color w:val="auto"/>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50A99"/>
    <w:rPr>
      <w:rFonts w:ascii="Tahoma" w:hAnsi="Tahoma" w:cs="Tahoma"/>
      <w:sz w:val="16"/>
      <w:szCs w:val="16"/>
    </w:rPr>
  </w:style>
  <w:style w:type="character" w:customStyle="1" w:styleId="TextodegloboCar">
    <w:name w:val="Texto de globo Car"/>
    <w:basedOn w:val="Fuentedeprrafopredeter"/>
    <w:link w:val="Textodeglobo"/>
    <w:uiPriority w:val="99"/>
    <w:semiHidden/>
    <w:rsid w:val="00650A99"/>
    <w:rPr>
      <w:rFonts w:ascii="Tahoma" w:hAnsi="Tahoma" w:cs="Tahoma"/>
      <w:sz w:val="16"/>
      <w:szCs w:val="16"/>
    </w:rPr>
  </w:style>
  <w:style w:type="paragraph" w:styleId="Encabezado">
    <w:name w:val="header"/>
    <w:basedOn w:val="Normal"/>
    <w:link w:val="EncabezadoCar"/>
    <w:uiPriority w:val="99"/>
    <w:unhideWhenUsed/>
    <w:rsid w:val="00650A99"/>
    <w:pPr>
      <w:tabs>
        <w:tab w:val="center" w:pos="4419"/>
        <w:tab w:val="right" w:pos="8838"/>
      </w:tabs>
    </w:pPr>
  </w:style>
  <w:style w:type="character" w:customStyle="1" w:styleId="EncabezadoCar">
    <w:name w:val="Encabezado Car"/>
    <w:basedOn w:val="Fuentedeprrafopredeter"/>
    <w:link w:val="Encabezado"/>
    <w:uiPriority w:val="99"/>
    <w:rsid w:val="00650A99"/>
  </w:style>
  <w:style w:type="paragraph" w:styleId="Piedepgina">
    <w:name w:val="footer"/>
    <w:basedOn w:val="Normal"/>
    <w:link w:val="PiedepginaCar"/>
    <w:uiPriority w:val="99"/>
    <w:unhideWhenUsed/>
    <w:rsid w:val="00650A99"/>
    <w:pPr>
      <w:tabs>
        <w:tab w:val="center" w:pos="4419"/>
        <w:tab w:val="right" w:pos="8838"/>
      </w:tabs>
    </w:pPr>
  </w:style>
  <w:style w:type="character" w:customStyle="1" w:styleId="PiedepginaCar">
    <w:name w:val="Pie de página Car"/>
    <w:basedOn w:val="Fuentedeprrafopredeter"/>
    <w:link w:val="Piedepgina"/>
    <w:uiPriority w:val="99"/>
    <w:rsid w:val="00650A99"/>
  </w:style>
  <w:style w:type="character" w:styleId="Hipervnculo">
    <w:name w:val="Hyperlink"/>
    <w:basedOn w:val="Fuentedeprrafopredeter"/>
    <w:uiPriority w:val="99"/>
    <w:unhideWhenUsed/>
    <w:rsid w:val="00650A99"/>
    <w:rPr>
      <w:color w:val="0000FF" w:themeColor="hyperlink"/>
      <w:u w:val="single"/>
    </w:rPr>
  </w:style>
  <w:style w:type="paragraph" w:styleId="NormalWeb">
    <w:name w:val="Normal (Web)"/>
    <w:basedOn w:val="Normal"/>
    <w:uiPriority w:val="99"/>
    <w:semiHidden/>
    <w:unhideWhenUsed/>
    <w:rsid w:val="00670D69"/>
    <w:pPr>
      <w:spacing w:beforeAutospacing="1" w:after="100" w:afterAutospacing="1"/>
    </w:pPr>
    <w:rPr>
      <w:rFonts w:ascii="Times New Roman" w:eastAsia="Times New Roman" w:hAnsi="Times New Roman" w:cs="Times New Roman"/>
      <w:sz w:val="24"/>
      <w:szCs w:val="24"/>
    </w:rPr>
  </w:style>
  <w:style w:type="table" w:styleId="Tablaconcuadrcula">
    <w:name w:val="Table Grid"/>
    <w:basedOn w:val="Tablanormal"/>
    <w:uiPriority w:val="59"/>
    <w:rsid w:val="00AE45E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oindependienteCar">
    <w:name w:val="Texto independiente Car"/>
    <w:aliases w:val="body text Car,bt Car,contents Car,body tesx Car1,body tesx Car Car"/>
    <w:basedOn w:val="Fuentedeprrafopredeter"/>
    <w:link w:val="Textoindependiente"/>
    <w:locked/>
    <w:rsid w:val="006A5FCB"/>
    <w:rPr>
      <w:rFonts w:ascii="Tahoma" w:hAnsi="Tahoma" w:cs="Tahoma"/>
      <w:sz w:val="24"/>
      <w:szCs w:val="24"/>
      <w:lang w:val="es-ES" w:eastAsia="es-ES"/>
    </w:rPr>
  </w:style>
  <w:style w:type="paragraph" w:styleId="Textoindependiente">
    <w:name w:val="Body Text"/>
    <w:aliases w:val="body text,bt,contents,body tesx,body tesx Car"/>
    <w:basedOn w:val="Normal"/>
    <w:link w:val="TextoindependienteCar"/>
    <w:unhideWhenUsed/>
    <w:rsid w:val="006A5FCB"/>
    <w:pPr>
      <w:jc w:val="both"/>
    </w:pPr>
    <w:rPr>
      <w:rFonts w:ascii="Tahoma" w:hAnsi="Tahoma" w:cs="Tahoma"/>
      <w:sz w:val="24"/>
      <w:szCs w:val="24"/>
      <w:lang w:val="es-ES" w:eastAsia="es-ES"/>
    </w:rPr>
  </w:style>
  <w:style w:type="character" w:customStyle="1" w:styleId="TextoindependienteCar1">
    <w:name w:val="Texto independiente Car1"/>
    <w:basedOn w:val="Fuentedeprrafopredeter"/>
    <w:uiPriority w:val="99"/>
    <w:semiHidden/>
    <w:rsid w:val="006A5FCB"/>
  </w:style>
  <w:style w:type="paragraph" w:styleId="Prrafodelista">
    <w:name w:val="List Paragraph"/>
    <w:basedOn w:val="Normal"/>
    <w:uiPriority w:val="34"/>
    <w:qFormat/>
    <w:rsid w:val="006A5FCB"/>
    <w:pPr>
      <w:ind w:left="720"/>
      <w:contextualSpacing/>
    </w:pPr>
  </w:style>
  <w:style w:type="paragraph" w:styleId="Sinespaciado">
    <w:name w:val="No Spacing"/>
    <w:uiPriority w:val="1"/>
    <w:qFormat/>
    <w:rsid w:val="005E5E78"/>
    <w:pPr>
      <w:spacing w:after="0"/>
    </w:pPr>
    <w:rPr>
      <w:rFonts w:ascii="Arial" w:eastAsia="Arial" w:hAnsi="Arial" w:cs="Arial"/>
      <w:color w:val="000000"/>
      <w:lang w:eastAsia="es-CO"/>
    </w:rPr>
  </w:style>
  <w:style w:type="paragraph" w:styleId="Textoindependiente2">
    <w:name w:val="Body Text 2"/>
    <w:basedOn w:val="Normal"/>
    <w:link w:val="Textoindependiente2Car"/>
    <w:uiPriority w:val="99"/>
    <w:semiHidden/>
    <w:unhideWhenUsed/>
    <w:rsid w:val="003A5822"/>
    <w:pPr>
      <w:spacing w:after="120" w:line="480" w:lineRule="auto"/>
    </w:pPr>
  </w:style>
  <w:style w:type="character" w:customStyle="1" w:styleId="Textoindependiente2Car">
    <w:name w:val="Texto independiente 2 Car"/>
    <w:basedOn w:val="Fuentedeprrafopredeter"/>
    <w:link w:val="Textoindependiente2"/>
    <w:uiPriority w:val="99"/>
    <w:semiHidden/>
    <w:rsid w:val="003A5822"/>
    <w:rPr>
      <w:rFonts w:ascii="Arial" w:eastAsia="Arial" w:hAnsi="Arial" w:cs="Arial"/>
      <w:color w:val="000000"/>
      <w:lang w:eastAsia="es-CO"/>
    </w:rPr>
  </w:style>
  <w:style w:type="paragraph" w:styleId="Textoindependiente3">
    <w:name w:val="Body Text 3"/>
    <w:basedOn w:val="Normal"/>
    <w:link w:val="Textoindependiente3Car"/>
    <w:uiPriority w:val="99"/>
    <w:unhideWhenUsed/>
    <w:rsid w:val="003A5822"/>
    <w:pPr>
      <w:spacing w:after="120"/>
    </w:pPr>
    <w:rPr>
      <w:sz w:val="16"/>
      <w:szCs w:val="16"/>
    </w:rPr>
  </w:style>
  <w:style w:type="character" w:customStyle="1" w:styleId="Textoindependiente3Car">
    <w:name w:val="Texto independiente 3 Car"/>
    <w:basedOn w:val="Fuentedeprrafopredeter"/>
    <w:link w:val="Textoindependiente3"/>
    <w:uiPriority w:val="99"/>
    <w:rsid w:val="003A5822"/>
    <w:rPr>
      <w:rFonts w:ascii="Arial" w:eastAsia="Arial" w:hAnsi="Arial" w:cs="Arial"/>
      <w:color w:val="000000"/>
      <w:sz w:val="16"/>
      <w:szCs w:val="16"/>
      <w:lang w:eastAsia="es-CO"/>
    </w:rPr>
  </w:style>
  <w:style w:type="character" w:customStyle="1" w:styleId="Ttulo1Car">
    <w:name w:val="Título 1 Car"/>
    <w:basedOn w:val="Fuentedeprrafopredeter"/>
    <w:link w:val="Ttulo1"/>
    <w:rsid w:val="003A5822"/>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rsid w:val="003A5822"/>
    <w:rPr>
      <w:rFonts w:ascii="Times New Roman" w:eastAsia="Times New Roman" w:hAnsi="Times New Roman" w:cs="Times New Roman"/>
      <w:b/>
      <w:sz w:val="36"/>
      <w:szCs w:val="20"/>
      <w:lang w:val="es-ES" w:eastAsia="es-ES"/>
    </w:rPr>
  </w:style>
  <w:style w:type="character" w:customStyle="1" w:styleId="Ttulo3Car">
    <w:name w:val="Título 3 Car"/>
    <w:basedOn w:val="Fuentedeprrafopredeter"/>
    <w:link w:val="Ttulo3"/>
    <w:rsid w:val="003A5822"/>
    <w:rPr>
      <w:rFonts w:ascii="Times New Roman" w:eastAsia="Times New Roman" w:hAnsi="Times New Roman" w:cs="Times New Roman"/>
      <w:b/>
      <w:sz w:val="27"/>
      <w:szCs w:val="20"/>
      <w:lang w:val="es-ES" w:eastAsia="es-ES"/>
    </w:rPr>
  </w:style>
  <w:style w:type="character" w:customStyle="1" w:styleId="Ttulo5Car">
    <w:name w:val="Título 5 Car"/>
    <w:basedOn w:val="Fuentedeprrafopredeter"/>
    <w:link w:val="Ttulo5"/>
    <w:uiPriority w:val="9"/>
    <w:semiHidden/>
    <w:rsid w:val="003A5822"/>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uiPriority w:val="9"/>
    <w:semiHidden/>
    <w:rsid w:val="003A5822"/>
    <w:rPr>
      <w:rFonts w:ascii="Calibri" w:eastAsia="Times New Roman" w:hAnsi="Calibri" w:cs="Times New Roman"/>
      <w:b/>
      <w:bCs/>
      <w:lang w:val="es-ES" w:eastAsia="es-ES"/>
    </w:rPr>
  </w:style>
  <w:style w:type="paragraph" w:styleId="Puesto">
    <w:name w:val="Title"/>
    <w:basedOn w:val="Normal"/>
    <w:link w:val="PuestoCar"/>
    <w:qFormat/>
    <w:rsid w:val="003A5822"/>
    <w:pPr>
      <w:jc w:val="center"/>
    </w:pPr>
    <w:rPr>
      <w:rFonts w:ascii="Times New Roman" w:eastAsia="Times New Roman" w:hAnsi="Times New Roman" w:cs="Times New Roman"/>
      <w:b/>
      <w:color w:val="auto"/>
      <w:sz w:val="24"/>
      <w:szCs w:val="20"/>
      <w:lang w:val="es-ES_tradnl" w:eastAsia="es-ES"/>
    </w:rPr>
  </w:style>
  <w:style w:type="character" w:customStyle="1" w:styleId="PuestoCar">
    <w:name w:val="Puesto Car"/>
    <w:basedOn w:val="Fuentedeprrafopredeter"/>
    <w:link w:val="Puesto"/>
    <w:rsid w:val="003A5822"/>
    <w:rPr>
      <w:rFonts w:ascii="Times New Roman" w:eastAsia="Times New Roman" w:hAnsi="Times New Roman" w:cs="Times New Roman"/>
      <w:b/>
      <w:sz w:val="24"/>
      <w:szCs w:val="20"/>
      <w:lang w:val="es-ES_tradnl" w:eastAsia="es-ES"/>
    </w:rPr>
  </w:style>
  <w:style w:type="paragraph" w:customStyle="1" w:styleId="Textosinformato1">
    <w:name w:val="Texto sin formato1"/>
    <w:basedOn w:val="Normal"/>
    <w:rsid w:val="003A5822"/>
    <w:rPr>
      <w:rFonts w:ascii="Courier New" w:eastAsia="Times New Roman" w:hAnsi="Courier New" w:cs="Times New Roman"/>
      <w:color w:val="auto"/>
      <w:sz w:val="20"/>
      <w:szCs w:val="24"/>
      <w:lang w:eastAsia="es-ES"/>
    </w:rPr>
  </w:style>
  <w:style w:type="paragraph" w:customStyle="1" w:styleId="xl53">
    <w:name w:val="xl53"/>
    <w:basedOn w:val="Normal"/>
    <w:rsid w:val="003A5822"/>
    <w:pPr>
      <w:spacing w:beforeAutospacing="1" w:after="100" w:afterAutospacing="1"/>
      <w:jc w:val="center"/>
    </w:pPr>
    <w:rPr>
      <w:rFonts w:eastAsia="Times New Roman"/>
      <w:b/>
      <w:bCs/>
      <w:color w:val="auto"/>
      <w:sz w:val="24"/>
      <w:szCs w:val="24"/>
      <w:lang w:val="es-ES" w:eastAsia="es-ES"/>
    </w:rPr>
  </w:style>
  <w:style w:type="table" w:styleId="Cuadrculaclara-nfasis6">
    <w:name w:val="Light Grid Accent 6"/>
    <w:basedOn w:val="Tablanormal"/>
    <w:uiPriority w:val="62"/>
    <w:rsid w:val="0007281C"/>
    <w:pPr>
      <w:spacing w:before="0" w:after="0"/>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Sangradetextonormal">
    <w:name w:val="Body Text Indent"/>
    <w:basedOn w:val="Normal"/>
    <w:link w:val="SangradetextonormalCar"/>
    <w:uiPriority w:val="99"/>
    <w:unhideWhenUsed/>
    <w:rsid w:val="00B773B4"/>
    <w:pPr>
      <w:spacing w:after="120"/>
      <w:ind w:left="360"/>
    </w:pPr>
  </w:style>
  <w:style w:type="character" w:customStyle="1" w:styleId="SangradetextonormalCar">
    <w:name w:val="Sangría de texto normal Car"/>
    <w:basedOn w:val="Fuentedeprrafopredeter"/>
    <w:link w:val="Sangradetextonormal"/>
    <w:uiPriority w:val="99"/>
    <w:rsid w:val="00B773B4"/>
    <w:rPr>
      <w:rFonts w:ascii="Arial" w:eastAsia="Arial" w:hAnsi="Arial" w:cs="Arial"/>
      <w:color w:val="000000"/>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06996">
      <w:bodyDiv w:val="1"/>
      <w:marLeft w:val="0"/>
      <w:marRight w:val="0"/>
      <w:marTop w:val="0"/>
      <w:marBottom w:val="0"/>
      <w:divBdr>
        <w:top w:val="none" w:sz="0" w:space="0" w:color="auto"/>
        <w:left w:val="none" w:sz="0" w:space="0" w:color="auto"/>
        <w:bottom w:val="none" w:sz="0" w:space="0" w:color="auto"/>
        <w:right w:val="none" w:sz="0" w:space="0" w:color="auto"/>
      </w:divBdr>
    </w:div>
    <w:div w:id="205602220">
      <w:bodyDiv w:val="1"/>
      <w:marLeft w:val="0"/>
      <w:marRight w:val="0"/>
      <w:marTop w:val="0"/>
      <w:marBottom w:val="0"/>
      <w:divBdr>
        <w:top w:val="none" w:sz="0" w:space="0" w:color="auto"/>
        <w:left w:val="none" w:sz="0" w:space="0" w:color="auto"/>
        <w:bottom w:val="none" w:sz="0" w:space="0" w:color="auto"/>
        <w:right w:val="none" w:sz="0" w:space="0" w:color="auto"/>
      </w:divBdr>
    </w:div>
    <w:div w:id="243345422">
      <w:bodyDiv w:val="1"/>
      <w:marLeft w:val="0"/>
      <w:marRight w:val="0"/>
      <w:marTop w:val="0"/>
      <w:marBottom w:val="0"/>
      <w:divBdr>
        <w:top w:val="none" w:sz="0" w:space="0" w:color="auto"/>
        <w:left w:val="none" w:sz="0" w:space="0" w:color="auto"/>
        <w:bottom w:val="none" w:sz="0" w:space="0" w:color="auto"/>
        <w:right w:val="none" w:sz="0" w:space="0" w:color="auto"/>
      </w:divBdr>
    </w:div>
    <w:div w:id="362369130">
      <w:bodyDiv w:val="1"/>
      <w:marLeft w:val="0"/>
      <w:marRight w:val="0"/>
      <w:marTop w:val="0"/>
      <w:marBottom w:val="0"/>
      <w:divBdr>
        <w:top w:val="none" w:sz="0" w:space="0" w:color="auto"/>
        <w:left w:val="none" w:sz="0" w:space="0" w:color="auto"/>
        <w:bottom w:val="none" w:sz="0" w:space="0" w:color="auto"/>
        <w:right w:val="none" w:sz="0" w:space="0" w:color="auto"/>
      </w:divBdr>
    </w:div>
    <w:div w:id="379397978">
      <w:bodyDiv w:val="1"/>
      <w:marLeft w:val="0"/>
      <w:marRight w:val="0"/>
      <w:marTop w:val="0"/>
      <w:marBottom w:val="0"/>
      <w:divBdr>
        <w:top w:val="none" w:sz="0" w:space="0" w:color="auto"/>
        <w:left w:val="none" w:sz="0" w:space="0" w:color="auto"/>
        <w:bottom w:val="none" w:sz="0" w:space="0" w:color="auto"/>
        <w:right w:val="none" w:sz="0" w:space="0" w:color="auto"/>
      </w:divBdr>
    </w:div>
    <w:div w:id="399907950">
      <w:bodyDiv w:val="1"/>
      <w:marLeft w:val="0"/>
      <w:marRight w:val="0"/>
      <w:marTop w:val="0"/>
      <w:marBottom w:val="0"/>
      <w:divBdr>
        <w:top w:val="none" w:sz="0" w:space="0" w:color="auto"/>
        <w:left w:val="none" w:sz="0" w:space="0" w:color="auto"/>
        <w:bottom w:val="none" w:sz="0" w:space="0" w:color="auto"/>
        <w:right w:val="none" w:sz="0" w:space="0" w:color="auto"/>
      </w:divBdr>
    </w:div>
    <w:div w:id="401607262">
      <w:bodyDiv w:val="1"/>
      <w:marLeft w:val="0"/>
      <w:marRight w:val="0"/>
      <w:marTop w:val="0"/>
      <w:marBottom w:val="0"/>
      <w:divBdr>
        <w:top w:val="none" w:sz="0" w:space="0" w:color="auto"/>
        <w:left w:val="none" w:sz="0" w:space="0" w:color="auto"/>
        <w:bottom w:val="none" w:sz="0" w:space="0" w:color="auto"/>
        <w:right w:val="none" w:sz="0" w:space="0" w:color="auto"/>
      </w:divBdr>
    </w:div>
    <w:div w:id="424692865">
      <w:bodyDiv w:val="1"/>
      <w:marLeft w:val="0"/>
      <w:marRight w:val="0"/>
      <w:marTop w:val="0"/>
      <w:marBottom w:val="0"/>
      <w:divBdr>
        <w:top w:val="none" w:sz="0" w:space="0" w:color="auto"/>
        <w:left w:val="none" w:sz="0" w:space="0" w:color="auto"/>
        <w:bottom w:val="none" w:sz="0" w:space="0" w:color="auto"/>
        <w:right w:val="none" w:sz="0" w:space="0" w:color="auto"/>
      </w:divBdr>
    </w:div>
    <w:div w:id="517892167">
      <w:bodyDiv w:val="1"/>
      <w:marLeft w:val="0"/>
      <w:marRight w:val="0"/>
      <w:marTop w:val="0"/>
      <w:marBottom w:val="0"/>
      <w:divBdr>
        <w:top w:val="none" w:sz="0" w:space="0" w:color="auto"/>
        <w:left w:val="none" w:sz="0" w:space="0" w:color="auto"/>
        <w:bottom w:val="none" w:sz="0" w:space="0" w:color="auto"/>
        <w:right w:val="none" w:sz="0" w:space="0" w:color="auto"/>
      </w:divBdr>
    </w:div>
    <w:div w:id="530797809">
      <w:bodyDiv w:val="1"/>
      <w:marLeft w:val="0"/>
      <w:marRight w:val="0"/>
      <w:marTop w:val="0"/>
      <w:marBottom w:val="0"/>
      <w:divBdr>
        <w:top w:val="none" w:sz="0" w:space="0" w:color="auto"/>
        <w:left w:val="none" w:sz="0" w:space="0" w:color="auto"/>
        <w:bottom w:val="none" w:sz="0" w:space="0" w:color="auto"/>
        <w:right w:val="none" w:sz="0" w:space="0" w:color="auto"/>
      </w:divBdr>
    </w:div>
    <w:div w:id="640695348">
      <w:bodyDiv w:val="1"/>
      <w:marLeft w:val="0"/>
      <w:marRight w:val="0"/>
      <w:marTop w:val="0"/>
      <w:marBottom w:val="0"/>
      <w:divBdr>
        <w:top w:val="none" w:sz="0" w:space="0" w:color="auto"/>
        <w:left w:val="none" w:sz="0" w:space="0" w:color="auto"/>
        <w:bottom w:val="none" w:sz="0" w:space="0" w:color="auto"/>
        <w:right w:val="none" w:sz="0" w:space="0" w:color="auto"/>
      </w:divBdr>
    </w:div>
    <w:div w:id="781385737">
      <w:bodyDiv w:val="1"/>
      <w:marLeft w:val="0"/>
      <w:marRight w:val="0"/>
      <w:marTop w:val="0"/>
      <w:marBottom w:val="0"/>
      <w:divBdr>
        <w:top w:val="none" w:sz="0" w:space="0" w:color="auto"/>
        <w:left w:val="none" w:sz="0" w:space="0" w:color="auto"/>
        <w:bottom w:val="none" w:sz="0" w:space="0" w:color="auto"/>
        <w:right w:val="none" w:sz="0" w:space="0" w:color="auto"/>
      </w:divBdr>
    </w:div>
    <w:div w:id="829760464">
      <w:bodyDiv w:val="1"/>
      <w:marLeft w:val="0"/>
      <w:marRight w:val="0"/>
      <w:marTop w:val="0"/>
      <w:marBottom w:val="0"/>
      <w:divBdr>
        <w:top w:val="none" w:sz="0" w:space="0" w:color="auto"/>
        <w:left w:val="none" w:sz="0" w:space="0" w:color="auto"/>
        <w:bottom w:val="none" w:sz="0" w:space="0" w:color="auto"/>
        <w:right w:val="none" w:sz="0" w:space="0" w:color="auto"/>
      </w:divBdr>
    </w:div>
    <w:div w:id="873737574">
      <w:bodyDiv w:val="1"/>
      <w:marLeft w:val="0"/>
      <w:marRight w:val="0"/>
      <w:marTop w:val="0"/>
      <w:marBottom w:val="0"/>
      <w:divBdr>
        <w:top w:val="none" w:sz="0" w:space="0" w:color="auto"/>
        <w:left w:val="none" w:sz="0" w:space="0" w:color="auto"/>
        <w:bottom w:val="none" w:sz="0" w:space="0" w:color="auto"/>
        <w:right w:val="none" w:sz="0" w:space="0" w:color="auto"/>
      </w:divBdr>
    </w:div>
    <w:div w:id="1251233152">
      <w:bodyDiv w:val="1"/>
      <w:marLeft w:val="0"/>
      <w:marRight w:val="0"/>
      <w:marTop w:val="0"/>
      <w:marBottom w:val="0"/>
      <w:divBdr>
        <w:top w:val="none" w:sz="0" w:space="0" w:color="auto"/>
        <w:left w:val="none" w:sz="0" w:space="0" w:color="auto"/>
        <w:bottom w:val="none" w:sz="0" w:space="0" w:color="auto"/>
        <w:right w:val="none" w:sz="0" w:space="0" w:color="auto"/>
      </w:divBdr>
    </w:div>
    <w:div w:id="1513647308">
      <w:bodyDiv w:val="1"/>
      <w:marLeft w:val="0"/>
      <w:marRight w:val="0"/>
      <w:marTop w:val="0"/>
      <w:marBottom w:val="0"/>
      <w:divBdr>
        <w:top w:val="none" w:sz="0" w:space="0" w:color="auto"/>
        <w:left w:val="none" w:sz="0" w:space="0" w:color="auto"/>
        <w:bottom w:val="none" w:sz="0" w:space="0" w:color="auto"/>
        <w:right w:val="none" w:sz="0" w:space="0" w:color="auto"/>
      </w:divBdr>
    </w:div>
    <w:div w:id="1534540889">
      <w:bodyDiv w:val="1"/>
      <w:marLeft w:val="0"/>
      <w:marRight w:val="0"/>
      <w:marTop w:val="0"/>
      <w:marBottom w:val="0"/>
      <w:divBdr>
        <w:top w:val="none" w:sz="0" w:space="0" w:color="auto"/>
        <w:left w:val="none" w:sz="0" w:space="0" w:color="auto"/>
        <w:bottom w:val="none" w:sz="0" w:space="0" w:color="auto"/>
        <w:right w:val="none" w:sz="0" w:space="0" w:color="auto"/>
      </w:divBdr>
    </w:div>
    <w:div w:id="1561013354">
      <w:bodyDiv w:val="1"/>
      <w:marLeft w:val="0"/>
      <w:marRight w:val="0"/>
      <w:marTop w:val="0"/>
      <w:marBottom w:val="0"/>
      <w:divBdr>
        <w:top w:val="none" w:sz="0" w:space="0" w:color="auto"/>
        <w:left w:val="none" w:sz="0" w:space="0" w:color="auto"/>
        <w:bottom w:val="none" w:sz="0" w:space="0" w:color="auto"/>
        <w:right w:val="none" w:sz="0" w:space="0" w:color="auto"/>
      </w:divBdr>
    </w:div>
    <w:div w:id="1867058145">
      <w:bodyDiv w:val="1"/>
      <w:marLeft w:val="0"/>
      <w:marRight w:val="0"/>
      <w:marTop w:val="0"/>
      <w:marBottom w:val="0"/>
      <w:divBdr>
        <w:top w:val="none" w:sz="0" w:space="0" w:color="auto"/>
        <w:left w:val="none" w:sz="0" w:space="0" w:color="auto"/>
        <w:bottom w:val="none" w:sz="0" w:space="0" w:color="auto"/>
        <w:right w:val="none" w:sz="0" w:space="0" w:color="auto"/>
      </w:divBdr>
    </w:div>
    <w:div w:id="1887644730">
      <w:bodyDiv w:val="1"/>
      <w:marLeft w:val="0"/>
      <w:marRight w:val="0"/>
      <w:marTop w:val="0"/>
      <w:marBottom w:val="0"/>
      <w:divBdr>
        <w:top w:val="none" w:sz="0" w:space="0" w:color="auto"/>
        <w:left w:val="none" w:sz="0" w:space="0" w:color="auto"/>
        <w:bottom w:val="none" w:sz="0" w:space="0" w:color="auto"/>
        <w:right w:val="none" w:sz="0" w:space="0" w:color="auto"/>
      </w:divBdr>
    </w:div>
    <w:div w:id="1919632674">
      <w:bodyDiv w:val="1"/>
      <w:marLeft w:val="0"/>
      <w:marRight w:val="0"/>
      <w:marTop w:val="0"/>
      <w:marBottom w:val="0"/>
      <w:divBdr>
        <w:top w:val="none" w:sz="0" w:space="0" w:color="auto"/>
        <w:left w:val="none" w:sz="0" w:space="0" w:color="auto"/>
        <w:bottom w:val="none" w:sz="0" w:space="0" w:color="auto"/>
        <w:right w:val="none" w:sz="0" w:space="0" w:color="auto"/>
      </w:divBdr>
    </w:div>
    <w:div w:id="2092968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3" Type="http://schemas.openxmlformats.org/officeDocument/2006/relationships/hyperlink" Target="mailto:despacho.contraloria@contraloriatolima.gov.co" TargetMode="External"/><Relationship Id="rId2" Type="http://schemas.openxmlformats.org/officeDocument/2006/relationships/hyperlink" Target="http://www.contraloriatolima.gov.co" TargetMode="External"/><Relationship Id="rId1" Type="http://schemas.openxmlformats.org/officeDocument/2006/relationships/hyperlink" Target="mailto:despacho.contraloria@contraloriatolima.gov.co" TargetMode="External"/><Relationship Id="rId4" Type="http://schemas.openxmlformats.org/officeDocument/2006/relationships/hyperlink" Target="http://www.contraloriatolim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22531-3C61-4A11-B25F-D6B4080A3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1918</Words>
  <Characters>10551</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12445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USER</cp:lastModifiedBy>
  <cp:revision>6</cp:revision>
  <cp:lastPrinted>2016-12-25T21:42:00Z</cp:lastPrinted>
  <dcterms:created xsi:type="dcterms:W3CDTF">2016-10-31T20:42:00Z</dcterms:created>
  <dcterms:modified xsi:type="dcterms:W3CDTF">2016-12-25T21:42:00Z</dcterms:modified>
</cp:coreProperties>
</file>